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2D" w:rsidRPr="003F7A27" w:rsidRDefault="00505BC6" w:rsidP="003F7A27">
      <w:pPr>
        <w:tabs>
          <w:tab w:val="left" w:pos="-2268"/>
        </w:tabs>
        <w:spacing w:before="100" w:after="100"/>
        <w:ind w:left="0"/>
        <w:jc w:val="center"/>
        <w:outlineLvl w:val="0"/>
        <w:rPr>
          <w:rFonts w:cs="Arial"/>
          <w:b/>
          <w:sz w:val="22"/>
          <w:szCs w:val="22"/>
        </w:rPr>
      </w:pPr>
      <w:r w:rsidRPr="003F7A27">
        <w:rPr>
          <w:rFonts w:cs="Arial"/>
          <w:b/>
          <w:sz w:val="22"/>
          <w:szCs w:val="22"/>
        </w:rPr>
        <w:t>A</w:t>
      </w:r>
      <w:r w:rsidR="003A3A9F" w:rsidRPr="003F7A27">
        <w:rPr>
          <w:rFonts w:cs="Arial"/>
          <w:b/>
          <w:sz w:val="22"/>
          <w:szCs w:val="22"/>
        </w:rPr>
        <w:t>nexo I</w:t>
      </w:r>
    </w:p>
    <w:p w:rsidR="003A3A9F" w:rsidRPr="002A7E9B" w:rsidRDefault="00A337BD" w:rsidP="003F7A27">
      <w:pPr>
        <w:tabs>
          <w:tab w:val="left" w:pos="-2268"/>
        </w:tabs>
        <w:spacing w:before="100" w:after="100"/>
        <w:ind w:left="0"/>
        <w:jc w:val="center"/>
        <w:outlineLvl w:val="0"/>
        <w:rPr>
          <w:rFonts w:eastAsia="Calibri" w:cs="Arial"/>
          <w:bCs/>
          <w:spacing w:val="0"/>
        </w:rPr>
      </w:pPr>
      <w:r w:rsidRPr="002A7E9B">
        <w:rPr>
          <w:rFonts w:cs="Arial"/>
          <w:u w:val="single"/>
        </w:rPr>
        <w:t>Requisitos d</w:t>
      </w:r>
      <w:r w:rsidR="00486645" w:rsidRPr="002A7E9B">
        <w:rPr>
          <w:rFonts w:cs="Arial"/>
          <w:u w:val="single"/>
        </w:rPr>
        <w:t>as</w:t>
      </w:r>
      <w:r w:rsidRPr="002A7E9B">
        <w:rPr>
          <w:rFonts w:cs="Arial"/>
          <w:u w:val="single"/>
        </w:rPr>
        <w:t xml:space="preserve"> </w:t>
      </w:r>
      <w:r w:rsidR="00260115" w:rsidRPr="002A7E9B">
        <w:rPr>
          <w:rFonts w:cs="Arial"/>
          <w:u w:val="single"/>
        </w:rPr>
        <w:t xml:space="preserve">Medidas </w:t>
      </w:r>
      <w:r w:rsidR="008678F6" w:rsidRPr="002A7E9B">
        <w:rPr>
          <w:rFonts w:cs="Arial"/>
          <w:u w:val="single"/>
        </w:rPr>
        <w:t>e Despesas Elegíveis em</w:t>
      </w:r>
      <w:r w:rsidR="00257D67" w:rsidRPr="002A7E9B">
        <w:rPr>
          <w:rFonts w:cs="Arial"/>
          <w:u w:val="single"/>
        </w:rPr>
        <w:t xml:space="preserve"> Eficiência Energética e Energias Renováveis, por tipologia de operação</w:t>
      </w: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3F7A27">
        <w:trPr>
          <w:trHeight w:val="20"/>
          <w:tblHeader/>
          <w:jc w:val="center"/>
        </w:trPr>
        <w:tc>
          <w:tcPr>
            <w:tcW w:w="5382" w:type="dxa"/>
            <w:tcBorders>
              <w:top w:val="single" w:sz="12" w:space="0" w:color="auto"/>
              <w:left w:val="single" w:sz="12" w:space="0" w:color="auto"/>
            </w:tcBorders>
            <w:shd w:val="clear" w:color="auto" w:fill="D9E2F3" w:themeFill="accent5" w:themeFillTint="33"/>
            <w:vAlign w:val="center"/>
          </w:tcPr>
          <w:p w:rsidR="00873E92" w:rsidRPr="002A7E9B" w:rsidRDefault="00323A05" w:rsidP="003F7A27">
            <w:pPr>
              <w:spacing w:before="100" w:after="100"/>
              <w:ind w:left="0"/>
              <w:jc w:val="center"/>
              <w:rPr>
                <w:rFonts w:eastAsia="Calibri" w:cs="Arial"/>
                <w:b/>
                <w:spacing w:val="0"/>
                <w:lang w:val="pt-PT"/>
              </w:rPr>
            </w:pPr>
            <w:r w:rsidRPr="002A7E9B">
              <w:rPr>
                <w:rFonts w:eastAsia="Calibri" w:cs="Arial"/>
                <w:b/>
                <w:spacing w:val="0"/>
                <w:lang w:val="pt-PT"/>
              </w:rPr>
              <w:t>Requisitos das m</w:t>
            </w:r>
            <w:r w:rsidR="00873E92" w:rsidRPr="002A7E9B">
              <w:rPr>
                <w:rFonts w:eastAsia="Calibri" w:cs="Arial"/>
                <w:b/>
                <w:spacing w:val="0"/>
                <w:lang w:val="pt-PT"/>
              </w:rPr>
              <w:t>edidas</w:t>
            </w:r>
          </w:p>
        </w:tc>
        <w:tc>
          <w:tcPr>
            <w:tcW w:w="8788" w:type="dxa"/>
            <w:tcBorders>
              <w:top w:val="single" w:sz="12" w:space="0" w:color="auto"/>
              <w:right w:val="single" w:sz="12" w:space="0" w:color="auto"/>
            </w:tcBorders>
            <w:shd w:val="clear" w:color="auto" w:fill="D9E2F3" w:themeFill="accent5" w:themeFillTint="33"/>
            <w:vAlign w:val="center"/>
          </w:tcPr>
          <w:p w:rsidR="00873E92" w:rsidRPr="002A7E9B" w:rsidRDefault="00ED6D52" w:rsidP="003F7A27">
            <w:pPr>
              <w:spacing w:before="100" w:after="100"/>
              <w:ind w:left="0"/>
              <w:jc w:val="center"/>
              <w:rPr>
                <w:rFonts w:eastAsia="Calibri" w:cs="Arial"/>
                <w:b/>
                <w:spacing w:val="0"/>
                <w:lang w:val="pt-PT"/>
              </w:rPr>
            </w:pPr>
            <w:r w:rsidRPr="002A7E9B">
              <w:rPr>
                <w:rFonts w:eastAsia="Calibri" w:cs="Arial"/>
                <w:b/>
                <w:spacing w:val="0"/>
                <w:lang w:val="pt-PT"/>
              </w:rPr>
              <w:t xml:space="preserve">Despesas </w:t>
            </w:r>
            <w:r w:rsidR="00C536FF" w:rsidRPr="002A7E9B">
              <w:rPr>
                <w:rFonts w:eastAsia="Calibri" w:cs="Arial"/>
                <w:b/>
                <w:spacing w:val="0"/>
                <w:lang w:val="pt-PT"/>
              </w:rPr>
              <w:t>Elegíveis</w:t>
            </w:r>
          </w:p>
        </w:tc>
      </w:tr>
      <w:tr w:rsidR="002A7E9B" w:rsidRPr="002A7E9B" w:rsidTr="004E072F">
        <w:trPr>
          <w:trHeight w:val="336"/>
          <w:jc w:val="center"/>
        </w:trPr>
        <w:tc>
          <w:tcPr>
            <w:tcW w:w="14170" w:type="dxa"/>
            <w:gridSpan w:val="2"/>
            <w:tcBorders>
              <w:left w:val="single" w:sz="12" w:space="0" w:color="auto"/>
              <w:bottom w:val="single" w:sz="12" w:space="0" w:color="auto"/>
              <w:right w:val="single" w:sz="12" w:space="0" w:color="auto"/>
            </w:tcBorders>
            <w:shd w:val="clear" w:color="auto" w:fill="E7E6E6" w:themeFill="background2"/>
            <w:vAlign w:val="center"/>
          </w:tcPr>
          <w:p w:rsidR="00873E92" w:rsidRPr="002A7E9B" w:rsidRDefault="00606785" w:rsidP="003F7A27">
            <w:pPr>
              <w:spacing w:before="100" w:after="100"/>
              <w:ind w:left="0"/>
              <w:rPr>
                <w:rFonts w:cs="Arial"/>
                <w:b/>
                <w:sz w:val="18"/>
                <w:szCs w:val="18"/>
                <w:lang w:val="pt-PT"/>
              </w:rPr>
            </w:pPr>
            <w:proofErr w:type="spellStart"/>
            <w:r>
              <w:rPr>
                <w:rFonts w:cs="Arial"/>
                <w:b/>
                <w:sz w:val="18"/>
                <w:szCs w:val="18"/>
                <w:lang w:val="pt-PT"/>
              </w:rPr>
              <w:t>Art</w:t>
            </w:r>
            <w:proofErr w:type="spellEnd"/>
            <w:r>
              <w:rPr>
                <w:rFonts w:cs="Arial"/>
                <w:b/>
                <w:sz w:val="18"/>
                <w:szCs w:val="18"/>
                <w:lang w:val="pt-PT"/>
              </w:rPr>
              <w:t xml:space="preserve">º 36 </w:t>
            </w:r>
            <w:r w:rsidR="00873E92" w:rsidRPr="002A7E9B">
              <w:rPr>
                <w:rFonts w:cs="Arial"/>
                <w:b/>
                <w:sz w:val="18"/>
                <w:szCs w:val="18"/>
                <w:lang w:val="pt-PT"/>
              </w:rPr>
              <w:t xml:space="preserve">a) Intervenções </w:t>
            </w:r>
            <w:r w:rsidR="00A921C1" w:rsidRPr="002A7E9B">
              <w:rPr>
                <w:rFonts w:cs="Arial"/>
                <w:b/>
                <w:sz w:val="18"/>
                <w:szCs w:val="18"/>
                <w:lang w:val="pt-PT"/>
              </w:rPr>
              <w:t xml:space="preserve">ao nível do </w:t>
            </w:r>
            <w:r w:rsidR="00873E92" w:rsidRPr="002A7E9B">
              <w:rPr>
                <w:rFonts w:cs="Arial"/>
                <w:b/>
                <w:sz w:val="18"/>
                <w:szCs w:val="18"/>
                <w:lang w:val="pt-PT"/>
              </w:rPr>
              <w:t xml:space="preserve">aumento da eficiência energética dos edifícios e equipamentos públicos da administração </w:t>
            </w:r>
            <w:r w:rsidR="00723212" w:rsidRPr="002A7E9B">
              <w:rPr>
                <w:rFonts w:cs="Arial"/>
                <w:b/>
                <w:sz w:val="18"/>
                <w:szCs w:val="18"/>
                <w:lang w:val="pt-PT"/>
              </w:rPr>
              <w:t>local</w:t>
            </w:r>
          </w:p>
        </w:tc>
      </w:tr>
      <w:tr w:rsidR="002A7E9B" w:rsidRPr="002A7E9B" w:rsidTr="00A05769">
        <w:trPr>
          <w:trHeight w:val="20"/>
          <w:jc w:val="center"/>
        </w:trPr>
        <w:tc>
          <w:tcPr>
            <w:tcW w:w="5382" w:type="dxa"/>
            <w:vMerge w:val="restart"/>
            <w:tcBorders>
              <w:top w:val="single" w:sz="12" w:space="0" w:color="auto"/>
              <w:left w:val="single" w:sz="12" w:space="0" w:color="auto"/>
              <w:bottom w:val="single" w:sz="6" w:space="0" w:color="auto"/>
              <w:right w:val="single" w:sz="6" w:space="0" w:color="auto"/>
            </w:tcBorders>
            <w:vAlign w:val="center"/>
          </w:tcPr>
          <w:p w:rsidR="00EE286B" w:rsidRPr="002A7E9B" w:rsidRDefault="00C575D7" w:rsidP="003F7A27">
            <w:pPr>
              <w:spacing w:before="100" w:after="100"/>
              <w:ind w:left="0"/>
              <w:rPr>
                <w:rFonts w:cs="Arial"/>
                <w:sz w:val="18"/>
                <w:szCs w:val="18"/>
                <w:lang w:val="pt-PT"/>
              </w:rPr>
            </w:pPr>
            <w:r w:rsidRPr="002A7E9B">
              <w:rPr>
                <w:rFonts w:cs="Arial"/>
                <w:b/>
                <w:sz w:val="18"/>
                <w:szCs w:val="18"/>
                <w:lang w:val="pt-PT"/>
              </w:rPr>
              <w:t>i)</w:t>
            </w:r>
            <w:r w:rsidRPr="002A7E9B">
              <w:rPr>
                <w:rFonts w:cs="Arial"/>
                <w:sz w:val="18"/>
                <w:szCs w:val="18"/>
                <w:lang w:val="pt-PT"/>
              </w:rPr>
              <w:t xml:space="preserve"> </w:t>
            </w:r>
            <w:r w:rsidR="00EE286B" w:rsidRPr="002A7E9B">
              <w:rPr>
                <w:rFonts w:cs="Arial"/>
                <w:sz w:val="18"/>
                <w:szCs w:val="18"/>
                <w:lang w:val="pt-PT"/>
              </w:rPr>
              <w:t>Intervenções na envolvente opaca dos edifícios, com o objetivo de proceder à instalação de isolamento térmico em paredes, pavimentos, coberturas e caixas de estore.</w:t>
            </w:r>
          </w:p>
          <w:p w:rsidR="00EE286B" w:rsidRPr="002A7E9B" w:rsidRDefault="00EE286B" w:rsidP="003F7A27">
            <w:pPr>
              <w:spacing w:before="100" w:after="100"/>
              <w:ind w:left="0"/>
              <w:rPr>
                <w:rFonts w:cs="Arial"/>
                <w:sz w:val="18"/>
                <w:szCs w:val="18"/>
                <w:lang w:val="pt-PT"/>
              </w:rPr>
            </w:pPr>
          </w:p>
          <w:p w:rsidR="00EE286B" w:rsidRPr="002A7E9B" w:rsidRDefault="00EE286B" w:rsidP="003F7A27">
            <w:pPr>
              <w:spacing w:before="100" w:after="100"/>
              <w:ind w:left="0"/>
              <w:rPr>
                <w:rFonts w:cs="Arial"/>
                <w:b/>
                <w:sz w:val="18"/>
                <w:szCs w:val="18"/>
                <w:lang w:val="pt-PT"/>
              </w:rPr>
            </w:pPr>
            <w:r w:rsidRPr="002A7E9B">
              <w:rPr>
                <w:rFonts w:cs="Arial"/>
                <w:b/>
                <w:sz w:val="18"/>
                <w:szCs w:val="18"/>
                <w:lang w:val="pt-PT"/>
              </w:rPr>
              <w:t>Requisitos:</w:t>
            </w:r>
          </w:p>
          <w:p w:rsidR="00EE286B" w:rsidRPr="002A7E9B" w:rsidRDefault="00537997"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left w:val="single" w:sz="6" w:space="0" w:color="auto"/>
              <w:bottom w:val="single" w:sz="6" w:space="0" w:color="auto"/>
              <w:right w:val="single" w:sz="12" w:space="0" w:color="auto"/>
            </w:tcBorders>
            <w:vAlign w:val="center"/>
          </w:tcPr>
          <w:p w:rsidR="00AB05A4" w:rsidRPr="002A7E9B" w:rsidRDefault="00AB05A4"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Preparação das superfícies (pa</w:t>
            </w:r>
            <w:r w:rsidR="00CF04A0" w:rsidRPr="002A7E9B">
              <w:rPr>
                <w:rFonts w:ascii="Arial" w:hAnsi="Arial" w:cs="Arial"/>
                <w:sz w:val="18"/>
                <w:szCs w:val="18"/>
                <w:lang w:val="pt-PT"/>
              </w:rPr>
              <w:t>redes</w:t>
            </w:r>
            <w:r w:rsidRPr="002A7E9B">
              <w:rPr>
                <w:rFonts w:ascii="Arial" w:hAnsi="Arial" w:cs="Arial"/>
                <w:sz w:val="18"/>
                <w:szCs w:val="18"/>
                <w:lang w:val="pt-PT"/>
              </w:rPr>
              <w:t xml:space="preserve">, pavimentos </w:t>
            </w:r>
            <w:r w:rsidR="00CF04A0" w:rsidRPr="002A7E9B">
              <w:rPr>
                <w:rFonts w:ascii="Arial" w:hAnsi="Arial" w:cs="Arial"/>
                <w:sz w:val="18"/>
                <w:szCs w:val="18"/>
                <w:lang w:val="pt-PT"/>
              </w:rPr>
              <w:t>e/</w:t>
            </w:r>
            <w:r w:rsidRPr="002A7E9B">
              <w:rPr>
                <w:rFonts w:ascii="Arial" w:hAnsi="Arial" w:cs="Arial"/>
                <w:sz w:val="18"/>
                <w:szCs w:val="18"/>
                <w:lang w:val="pt-PT"/>
              </w:rPr>
              <w:t xml:space="preserve">ou coberturas) a serem intervencionadas para </w:t>
            </w:r>
            <w:r w:rsidR="00673C19" w:rsidRPr="002A7E9B">
              <w:rPr>
                <w:rFonts w:ascii="Arial" w:hAnsi="Arial" w:cs="Arial"/>
                <w:sz w:val="18"/>
                <w:szCs w:val="18"/>
                <w:lang w:val="pt-PT"/>
              </w:rPr>
              <w:t>colocação de isolamento térmico;</w:t>
            </w:r>
          </w:p>
          <w:p w:rsidR="00EE286B" w:rsidRPr="002A7E9B" w:rsidRDefault="00EE286B"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Aquisição e respetiva colocação de isolamento térmico (</w:t>
            </w:r>
            <w:proofErr w:type="spellStart"/>
            <w:r w:rsidRPr="002A7E9B">
              <w:rPr>
                <w:rFonts w:ascii="Arial" w:hAnsi="Arial" w:cs="Arial"/>
                <w:sz w:val="18"/>
                <w:szCs w:val="18"/>
                <w:lang w:val="pt-PT"/>
              </w:rPr>
              <w:t>ex</w:t>
            </w:r>
            <w:proofErr w:type="spellEnd"/>
            <w:r w:rsidRPr="002A7E9B">
              <w:rPr>
                <w:rFonts w:ascii="Arial" w:hAnsi="Arial" w:cs="Arial"/>
                <w:sz w:val="18"/>
                <w:szCs w:val="18"/>
                <w:lang w:val="pt-PT"/>
              </w:rPr>
              <w:t xml:space="preserve">: poliestireno expandido, </w:t>
            </w:r>
            <w:proofErr w:type="spellStart"/>
            <w:r w:rsidRPr="002A7E9B">
              <w:rPr>
                <w:rFonts w:ascii="Arial" w:hAnsi="Arial" w:cs="Arial"/>
                <w:sz w:val="18"/>
                <w:szCs w:val="18"/>
                <w:lang w:val="pt-PT"/>
              </w:rPr>
              <w:t>extrudido</w:t>
            </w:r>
            <w:proofErr w:type="spellEnd"/>
            <w:r w:rsidRPr="002A7E9B">
              <w:rPr>
                <w:rFonts w:ascii="Arial" w:hAnsi="Arial" w:cs="Arial"/>
                <w:sz w:val="18"/>
                <w:szCs w:val="18"/>
                <w:lang w:val="pt-PT"/>
              </w:rPr>
              <w:t>, lã mineral, cortiça ou outro) em fachadas, paredes, pavimentos, caixa de estores e preenchimento d</w:t>
            </w:r>
            <w:r w:rsidR="00673C19" w:rsidRPr="002A7E9B">
              <w:rPr>
                <w:rFonts w:ascii="Arial" w:hAnsi="Arial" w:cs="Arial"/>
                <w:sz w:val="18"/>
                <w:szCs w:val="18"/>
                <w:lang w:val="pt-PT"/>
              </w:rPr>
              <w:t>a caixa-de-ar de paredes duplas;</w:t>
            </w:r>
          </w:p>
          <w:p w:rsidR="00EE286B" w:rsidRPr="002A7E9B" w:rsidRDefault="00EE286B"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Acabamento (pintura, reboco, entre outros) relativo à instalação deste tipo de isolamento (por exemplo, em fachadas), na medida em que esse acabamento resulte da aplicação do isolamento.</w:t>
            </w:r>
          </w:p>
          <w:p w:rsidR="00EE286B" w:rsidRPr="002A7E9B" w:rsidRDefault="00EE286B" w:rsidP="003F7A27">
            <w:pPr>
              <w:spacing w:before="100" w:after="100"/>
              <w:ind w:left="0"/>
              <w:rPr>
                <w:rFonts w:cs="Arial"/>
                <w:sz w:val="18"/>
                <w:szCs w:val="18"/>
                <w:lang w:val="pt-PT"/>
              </w:rPr>
            </w:pPr>
          </w:p>
          <w:p w:rsidR="00EE286B" w:rsidRPr="002A7E9B" w:rsidRDefault="00EE286B" w:rsidP="003F7A27">
            <w:pPr>
              <w:spacing w:before="100" w:after="100"/>
              <w:ind w:left="0"/>
              <w:rPr>
                <w:rFonts w:cs="Arial"/>
                <w:b/>
                <w:sz w:val="18"/>
                <w:szCs w:val="18"/>
                <w:lang w:val="pt-PT"/>
              </w:rPr>
            </w:pPr>
            <w:r w:rsidRPr="002A7E9B">
              <w:rPr>
                <w:rFonts w:cs="Arial"/>
                <w:b/>
                <w:sz w:val="18"/>
                <w:szCs w:val="18"/>
                <w:lang w:val="pt-PT"/>
              </w:rPr>
              <w:t>Exemplos:</w:t>
            </w:r>
          </w:p>
          <w:p w:rsidR="00EE286B" w:rsidRPr="002A7E9B" w:rsidRDefault="00EE286B" w:rsidP="003F7A27">
            <w:pPr>
              <w:spacing w:before="100" w:after="100"/>
              <w:ind w:left="0"/>
              <w:rPr>
                <w:rFonts w:cs="Arial"/>
                <w:sz w:val="18"/>
                <w:szCs w:val="18"/>
                <w:lang w:val="pt-PT"/>
              </w:rPr>
            </w:pPr>
            <w:r w:rsidRPr="002A7E9B">
              <w:rPr>
                <w:rFonts w:cs="Arial"/>
                <w:sz w:val="18"/>
                <w:szCs w:val="18"/>
                <w:lang w:val="pt-PT"/>
              </w:rPr>
              <w:t xml:space="preserve">A – É colocado isolamento na fachada, sendo necessário posteriormente rebocar e pintar ou revestir a fachada – despesa </w:t>
            </w:r>
            <w:r w:rsidR="00673C19" w:rsidRPr="002A7E9B">
              <w:rPr>
                <w:rFonts w:cs="Arial"/>
                <w:sz w:val="18"/>
                <w:szCs w:val="18"/>
                <w:lang w:val="pt-PT"/>
              </w:rPr>
              <w:t>elegível;</w:t>
            </w:r>
          </w:p>
          <w:p w:rsidR="00EE286B" w:rsidRPr="002A7E9B" w:rsidRDefault="00EE286B" w:rsidP="003F7A27">
            <w:pPr>
              <w:spacing w:before="100" w:after="100"/>
              <w:ind w:left="0"/>
              <w:rPr>
                <w:rFonts w:cs="Arial"/>
                <w:b/>
                <w:spacing w:val="0"/>
                <w:sz w:val="18"/>
                <w:szCs w:val="18"/>
                <w:lang w:val="pt-PT" w:eastAsia="pt-PT"/>
              </w:rPr>
            </w:pPr>
            <w:r w:rsidRPr="002A7E9B">
              <w:rPr>
                <w:rFonts w:cs="Arial"/>
                <w:sz w:val="18"/>
                <w:szCs w:val="18"/>
                <w:lang w:val="pt-PT"/>
              </w:rPr>
              <w:t>B – É colocado isolamento a preencher a caixa-de-ar de uma parede dupla – acabamento exterior não é despesa elegível.</w:t>
            </w:r>
          </w:p>
        </w:tc>
      </w:tr>
      <w:tr w:rsidR="002A7E9B" w:rsidRPr="002A7E9B" w:rsidTr="003F7A27">
        <w:trPr>
          <w:trHeight w:val="636"/>
          <w:jc w:val="center"/>
        </w:trPr>
        <w:tc>
          <w:tcPr>
            <w:tcW w:w="5382" w:type="dxa"/>
            <w:vMerge/>
            <w:tcBorders>
              <w:top w:val="single" w:sz="6" w:space="0" w:color="auto"/>
              <w:left w:val="single" w:sz="12" w:space="0" w:color="auto"/>
              <w:bottom w:val="single" w:sz="12" w:space="0" w:color="auto"/>
              <w:right w:val="single" w:sz="6" w:space="0" w:color="auto"/>
            </w:tcBorders>
            <w:vAlign w:val="center"/>
          </w:tcPr>
          <w:p w:rsidR="00EE286B" w:rsidRPr="002A7E9B" w:rsidRDefault="00EE286B" w:rsidP="003F7A27">
            <w:pPr>
              <w:spacing w:before="100" w:after="100"/>
              <w:ind w:left="0"/>
              <w:rPr>
                <w:rFonts w:cs="Arial"/>
                <w:sz w:val="18"/>
                <w:szCs w:val="18"/>
                <w:lang w:val="pt-PT"/>
              </w:rPr>
            </w:pPr>
          </w:p>
        </w:tc>
        <w:tc>
          <w:tcPr>
            <w:tcW w:w="8788" w:type="dxa"/>
            <w:tcBorders>
              <w:top w:val="single" w:sz="6" w:space="0" w:color="auto"/>
              <w:left w:val="single" w:sz="6" w:space="0" w:color="auto"/>
              <w:bottom w:val="single" w:sz="12" w:space="0" w:color="auto"/>
              <w:right w:val="single" w:sz="12" w:space="0" w:color="auto"/>
            </w:tcBorders>
            <w:vAlign w:val="center"/>
          </w:tcPr>
          <w:p w:rsidR="00C46AF5" w:rsidRPr="002A7E9B" w:rsidRDefault="00EE286B" w:rsidP="003F7A27">
            <w:pPr>
              <w:spacing w:before="100" w:after="100"/>
              <w:ind w:left="0"/>
              <w:rPr>
                <w:rFonts w:cs="Arial"/>
                <w:b/>
                <w:sz w:val="18"/>
                <w:szCs w:val="18"/>
                <w:lang w:val="pt-PT" w:eastAsia="pt-PT"/>
              </w:rPr>
            </w:pPr>
            <w:r w:rsidRPr="002A7E9B">
              <w:rPr>
                <w:rFonts w:cs="Arial"/>
                <w:b/>
                <w:sz w:val="18"/>
                <w:szCs w:val="18"/>
                <w:lang w:val="pt-PT"/>
              </w:rPr>
              <w:t xml:space="preserve">Custos Padrão: </w:t>
            </w:r>
            <w:r w:rsidRPr="002A7E9B">
              <w:rPr>
                <w:rFonts w:cs="Arial"/>
                <w:sz w:val="18"/>
                <w:szCs w:val="18"/>
                <w:lang w:val="pt-PT"/>
              </w:rPr>
              <w:t>Envolvente opaca</w:t>
            </w:r>
            <w:r w:rsidR="003B65E5" w:rsidRPr="002A7E9B">
              <w:rPr>
                <w:rFonts w:cs="Arial"/>
                <w:sz w:val="18"/>
                <w:szCs w:val="18"/>
                <w:lang w:val="pt-PT"/>
              </w:rPr>
              <w:t>.</w:t>
            </w:r>
          </w:p>
        </w:tc>
      </w:tr>
      <w:tr w:rsidR="002A7E9B" w:rsidRPr="002A7E9B" w:rsidTr="001D1D46">
        <w:trPr>
          <w:trHeight w:val="388"/>
          <w:jc w:val="center"/>
        </w:trPr>
        <w:tc>
          <w:tcPr>
            <w:tcW w:w="5382" w:type="dxa"/>
            <w:vMerge w:val="restart"/>
            <w:tcBorders>
              <w:top w:val="single" w:sz="12" w:space="0" w:color="auto"/>
              <w:left w:val="single" w:sz="12" w:space="0" w:color="auto"/>
            </w:tcBorders>
            <w:vAlign w:val="center"/>
          </w:tcPr>
          <w:p w:rsidR="00EC732D" w:rsidRPr="002A7E9B" w:rsidRDefault="00C575D7" w:rsidP="003F7A27">
            <w:pPr>
              <w:spacing w:before="100" w:after="100"/>
              <w:ind w:left="0"/>
              <w:rPr>
                <w:rFonts w:cs="Arial"/>
                <w:sz w:val="18"/>
                <w:szCs w:val="18"/>
                <w:lang w:val="pt-PT"/>
              </w:rPr>
            </w:pPr>
            <w:proofErr w:type="spellStart"/>
            <w:proofErr w:type="gramStart"/>
            <w:r w:rsidRPr="002A7E9B">
              <w:rPr>
                <w:rFonts w:cs="Arial"/>
                <w:b/>
                <w:sz w:val="18"/>
                <w:szCs w:val="18"/>
                <w:lang w:val="pt-PT"/>
              </w:rPr>
              <w:t>ii</w:t>
            </w:r>
            <w:proofErr w:type="spellEnd"/>
            <w:proofErr w:type="gramEnd"/>
            <w:r w:rsidRPr="002A7E9B">
              <w:rPr>
                <w:rFonts w:cs="Arial"/>
                <w:b/>
                <w:sz w:val="18"/>
                <w:szCs w:val="18"/>
                <w:lang w:val="pt-PT"/>
              </w:rPr>
              <w:t xml:space="preserve">) </w:t>
            </w:r>
            <w:r w:rsidR="00EC732D" w:rsidRPr="002A7E9B">
              <w:rPr>
                <w:rFonts w:cs="Arial"/>
                <w:sz w:val="18"/>
                <w:szCs w:val="18"/>
                <w:lang w:val="pt-PT"/>
              </w:rPr>
              <w:t xml:space="preserve">Intervenções na envolvente envidraçada dos edifícios, nomeadamente através da substituição de caixilharia com vidro simples, e caixilharia com vidro duplo sem corte térmico, por caixilharia com vidro duplo e corte térmico, ou solução equivalente em termos de desempenho energético, e respetivos dispositivos de sombreamento. </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EC732D" w:rsidRPr="002A7E9B" w:rsidRDefault="00537997"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right w:val="single" w:sz="12" w:space="0" w:color="auto"/>
            </w:tcBorders>
            <w:vAlign w:val="center"/>
          </w:tcPr>
          <w:p w:rsidR="00EC732D" w:rsidRPr="002A7E9B" w:rsidRDefault="00CF04A0" w:rsidP="003F7A27">
            <w:pPr>
              <w:spacing w:before="100" w:after="100"/>
              <w:ind w:left="0"/>
              <w:rPr>
                <w:rFonts w:cs="Arial"/>
                <w:sz w:val="18"/>
                <w:szCs w:val="18"/>
                <w:lang w:val="pt-PT"/>
              </w:rPr>
            </w:pPr>
            <w:r w:rsidRPr="002A7E9B">
              <w:rPr>
                <w:rFonts w:cs="Arial"/>
                <w:sz w:val="18"/>
                <w:szCs w:val="18"/>
                <w:lang w:val="pt-PT"/>
              </w:rPr>
              <w:t>Remoção da envolvente envidraçada</w:t>
            </w:r>
            <w:r w:rsidR="00CA0429" w:rsidRPr="002A7E9B">
              <w:rPr>
                <w:rFonts w:cs="Arial"/>
                <w:sz w:val="18"/>
                <w:szCs w:val="18"/>
                <w:lang w:val="pt-PT"/>
              </w:rPr>
              <w:t xml:space="preserve"> existente, a</w:t>
            </w:r>
            <w:r w:rsidR="00EC732D" w:rsidRPr="002A7E9B">
              <w:rPr>
                <w:rFonts w:cs="Arial"/>
                <w:sz w:val="18"/>
                <w:szCs w:val="18"/>
                <w:lang w:val="pt-PT"/>
              </w:rPr>
              <w:t xml:space="preserve">quisição e respetiva instalação </w:t>
            </w:r>
            <w:proofErr w:type="gramStart"/>
            <w:r w:rsidR="00EC732D" w:rsidRPr="002A7E9B">
              <w:rPr>
                <w:rFonts w:cs="Arial"/>
                <w:sz w:val="18"/>
                <w:szCs w:val="18"/>
                <w:lang w:val="pt-PT"/>
              </w:rPr>
              <w:t>de</w:t>
            </w:r>
            <w:proofErr w:type="gramEnd"/>
            <w:r w:rsidR="00EC732D" w:rsidRPr="002A7E9B">
              <w:rPr>
                <w:rFonts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Caixilharia de alumínio com corte térmico;</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Caixilharia de PVC ou madeira, ou de PVC/alumínio forrada a madeira;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Vãos duplos de caixilharia;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Outros tipos de caixilharia que conduzam ao cumprimento dos requisitos mínimos de desempenho aplicáveis.</w:t>
            </w:r>
          </w:p>
          <w:p w:rsidR="00EC732D" w:rsidRPr="002A7E9B" w:rsidRDefault="00EC732D" w:rsidP="003F7A27">
            <w:pPr>
              <w:spacing w:before="100" w:after="100"/>
              <w:ind w:left="0"/>
              <w:rPr>
                <w:rFonts w:cs="Arial"/>
                <w:i/>
                <w:sz w:val="18"/>
                <w:szCs w:val="18"/>
                <w:lang w:val="pt-PT"/>
              </w:rPr>
            </w:pPr>
            <w:r w:rsidRPr="002A7E9B">
              <w:rPr>
                <w:rFonts w:cs="Arial"/>
                <w:i/>
                <w:sz w:val="18"/>
                <w:szCs w:val="18"/>
                <w:lang w:val="pt-PT"/>
              </w:rPr>
              <w:t>Nota: na especificação de caixilharias devem ser avaliadas as condições de ventilação do edifício ou fração e, se necessário, utilizar estes elementos para incorporar eventuais dispositivos de admissão de ar.</w:t>
            </w:r>
          </w:p>
          <w:p w:rsidR="00EC732D" w:rsidRPr="002A7E9B" w:rsidRDefault="00EC732D"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Dispositivos de sombreamento – palas, platibandas, estores, sistemas dinâmicos de sombreamento, fachadas agrafadas entre outras soluções que permitam um aumento na eficiência energética por melhoria das condições interiores no edifício ou fração.</w:t>
            </w:r>
          </w:p>
        </w:tc>
      </w:tr>
      <w:tr w:rsidR="002A7E9B" w:rsidRPr="002A7E9B" w:rsidTr="003F7A27">
        <w:trPr>
          <w:trHeight w:val="617"/>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rPr>
            </w:pPr>
            <w:r w:rsidRPr="002A7E9B">
              <w:rPr>
                <w:rFonts w:cs="Arial"/>
                <w:b/>
                <w:sz w:val="18"/>
                <w:szCs w:val="18"/>
                <w:lang w:val="pt-PT"/>
              </w:rPr>
              <w:t xml:space="preserve">Custos Padrão: </w:t>
            </w:r>
            <w:r w:rsidRPr="002A7E9B">
              <w:rPr>
                <w:rFonts w:cs="Arial"/>
                <w:sz w:val="18"/>
                <w:szCs w:val="18"/>
                <w:lang w:val="pt-PT"/>
              </w:rPr>
              <w:t>Envolvente envidraçada</w:t>
            </w:r>
            <w:r w:rsidR="00A921C1" w:rsidRPr="002A7E9B">
              <w:rPr>
                <w:rFonts w:cs="Arial"/>
                <w:sz w:val="18"/>
                <w:szCs w:val="18"/>
                <w:lang w:val="pt-PT"/>
              </w:rPr>
              <w:t>.</w:t>
            </w:r>
          </w:p>
        </w:tc>
      </w:tr>
      <w:tr w:rsidR="002A7E9B" w:rsidRPr="002A7E9B" w:rsidTr="00CA0429">
        <w:trPr>
          <w:trHeight w:val="541"/>
          <w:jc w:val="center"/>
        </w:trPr>
        <w:tc>
          <w:tcPr>
            <w:tcW w:w="5382" w:type="dxa"/>
            <w:vMerge w:val="restart"/>
            <w:tcBorders>
              <w:top w:val="single" w:sz="12" w:space="0" w:color="auto"/>
              <w:left w:val="single" w:sz="12" w:space="0" w:color="auto"/>
            </w:tcBorders>
            <w:vAlign w:val="center"/>
          </w:tcPr>
          <w:p w:rsidR="00EC732D" w:rsidRPr="002A7E9B" w:rsidRDefault="00C575D7" w:rsidP="003F7A27">
            <w:pPr>
              <w:spacing w:before="100" w:after="100"/>
              <w:ind w:left="0"/>
              <w:rPr>
                <w:rFonts w:cs="Arial"/>
                <w:sz w:val="18"/>
                <w:szCs w:val="18"/>
                <w:lang w:val="pt-PT"/>
              </w:rPr>
            </w:pPr>
            <w:proofErr w:type="spellStart"/>
            <w:proofErr w:type="gramStart"/>
            <w:r w:rsidRPr="002A7E9B">
              <w:rPr>
                <w:rFonts w:cs="Arial"/>
                <w:b/>
                <w:sz w:val="18"/>
                <w:szCs w:val="18"/>
                <w:lang w:val="pt-PT"/>
              </w:rPr>
              <w:lastRenderedPageBreak/>
              <w:t>iii</w:t>
            </w:r>
            <w:proofErr w:type="spellEnd"/>
            <w:proofErr w:type="gramEnd"/>
            <w:r w:rsidRPr="002A7E9B">
              <w:rPr>
                <w:rFonts w:cs="Arial"/>
                <w:b/>
                <w:sz w:val="18"/>
                <w:szCs w:val="18"/>
                <w:lang w:val="pt-PT"/>
              </w:rPr>
              <w:t xml:space="preserve">) </w:t>
            </w:r>
            <w:r w:rsidR="00723212" w:rsidRPr="003F7A27">
              <w:rPr>
                <w:rFonts w:cs="Arial"/>
                <w:sz w:val="18"/>
                <w:szCs w:val="18"/>
                <w:lang w:val="pt-PT"/>
              </w:rPr>
              <w:t>Ilu</w:t>
            </w:r>
            <w:r w:rsidR="00723212" w:rsidRPr="002A7E9B">
              <w:rPr>
                <w:rFonts w:cs="Arial"/>
                <w:sz w:val="18"/>
                <w:szCs w:val="18"/>
                <w:lang w:val="pt-PT"/>
              </w:rPr>
              <w:t>minação interior e intervenções nos sistemas</w:t>
            </w:r>
            <w:r w:rsidR="00F308A8" w:rsidRPr="002A7E9B">
              <w:rPr>
                <w:rFonts w:cs="Arial"/>
                <w:sz w:val="18"/>
                <w:szCs w:val="18"/>
                <w:lang w:val="pt-PT"/>
              </w:rPr>
              <w:t xml:space="preserve"> </w:t>
            </w:r>
            <w:r w:rsidR="00723212" w:rsidRPr="002A7E9B">
              <w:rPr>
                <w:rFonts w:cs="Arial"/>
                <w:sz w:val="18"/>
                <w:szCs w:val="18"/>
                <w:lang w:val="pt-PT"/>
              </w:rPr>
              <w:t>técnicos instalados, através da substituição dos sistemas</w:t>
            </w:r>
            <w:r w:rsidR="00F308A8" w:rsidRPr="002A7E9B">
              <w:rPr>
                <w:rFonts w:cs="Arial"/>
                <w:sz w:val="18"/>
                <w:szCs w:val="18"/>
                <w:lang w:val="pt-PT"/>
              </w:rPr>
              <w:t xml:space="preserve"> </w:t>
            </w:r>
            <w:r w:rsidR="00723212" w:rsidRPr="002A7E9B">
              <w:rPr>
                <w:rFonts w:cs="Arial"/>
                <w:sz w:val="18"/>
                <w:szCs w:val="18"/>
                <w:lang w:val="pt-PT"/>
              </w:rPr>
              <w:t>existentes por sistemas de elevada eficiência, ou através de</w:t>
            </w:r>
            <w:r w:rsidR="00F308A8" w:rsidRPr="002A7E9B">
              <w:rPr>
                <w:rFonts w:cs="Arial"/>
                <w:sz w:val="18"/>
                <w:szCs w:val="18"/>
                <w:lang w:val="pt-PT"/>
              </w:rPr>
              <w:t xml:space="preserve"> </w:t>
            </w:r>
            <w:r w:rsidR="00723212" w:rsidRPr="002A7E9B">
              <w:rPr>
                <w:rFonts w:cs="Arial"/>
                <w:sz w:val="18"/>
                <w:szCs w:val="18"/>
                <w:lang w:val="pt-PT"/>
              </w:rPr>
              <w:t>intervenções nos sistemas existentes que visem aumentar</w:t>
            </w:r>
            <w:r w:rsidR="00F308A8" w:rsidRPr="002A7E9B">
              <w:rPr>
                <w:rFonts w:cs="Arial"/>
                <w:sz w:val="18"/>
                <w:szCs w:val="18"/>
                <w:lang w:val="pt-PT"/>
              </w:rPr>
              <w:t xml:space="preserve"> </w:t>
            </w:r>
            <w:r w:rsidR="00723212" w:rsidRPr="002A7E9B">
              <w:rPr>
                <w:rFonts w:cs="Arial"/>
                <w:sz w:val="18"/>
                <w:szCs w:val="18"/>
                <w:lang w:val="pt-PT"/>
              </w:rPr>
              <w:t>a sua eficiência energética, nomeadamente integração de</w:t>
            </w:r>
            <w:r w:rsidR="00F308A8" w:rsidRPr="002A7E9B">
              <w:rPr>
                <w:rFonts w:cs="Arial"/>
                <w:sz w:val="18"/>
                <w:szCs w:val="18"/>
                <w:lang w:val="pt-PT"/>
              </w:rPr>
              <w:t xml:space="preserve"> </w:t>
            </w:r>
            <w:r w:rsidR="00723212" w:rsidRPr="002A7E9B">
              <w:rPr>
                <w:rFonts w:cs="Arial"/>
                <w:sz w:val="18"/>
                <w:szCs w:val="18"/>
                <w:lang w:val="pt-PT"/>
              </w:rPr>
              <w:t xml:space="preserve">água quente solar, incorporação de </w:t>
            </w:r>
            <w:proofErr w:type="spellStart"/>
            <w:r w:rsidR="00723212" w:rsidRPr="002A7E9B">
              <w:rPr>
                <w:rFonts w:cs="Arial"/>
                <w:sz w:val="18"/>
                <w:szCs w:val="18"/>
                <w:lang w:val="pt-PT"/>
              </w:rPr>
              <w:t>microgeração</w:t>
            </w:r>
            <w:proofErr w:type="spellEnd"/>
            <w:r w:rsidR="00723212" w:rsidRPr="002A7E9B">
              <w:rPr>
                <w:rFonts w:cs="Arial"/>
                <w:sz w:val="18"/>
                <w:szCs w:val="18"/>
                <w:lang w:val="pt-PT"/>
              </w:rPr>
              <w:t>, sistemas</w:t>
            </w:r>
            <w:r w:rsidR="00F308A8" w:rsidRPr="002A7E9B">
              <w:rPr>
                <w:rFonts w:cs="Arial"/>
                <w:sz w:val="18"/>
                <w:szCs w:val="18"/>
                <w:lang w:val="pt-PT"/>
              </w:rPr>
              <w:t xml:space="preserve"> </w:t>
            </w:r>
            <w:r w:rsidR="00723212" w:rsidRPr="002A7E9B">
              <w:rPr>
                <w:rFonts w:cs="Arial"/>
                <w:sz w:val="18"/>
                <w:szCs w:val="18"/>
                <w:lang w:val="pt-PT"/>
              </w:rPr>
              <w:t>de iluminação, aquecimento, ventilação e ar condicionado</w:t>
            </w:r>
            <w:r w:rsidR="00F308A8" w:rsidRPr="002A7E9B">
              <w:rPr>
                <w:rFonts w:cs="Arial"/>
                <w:sz w:val="18"/>
                <w:szCs w:val="18"/>
                <w:lang w:val="pt-PT"/>
              </w:rPr>
              <w:t xml:space="preserve"> </w:t>
            </w:r>
            <w:r w:rsidR="00723212" w:rsidRPr="002A7E9B">
              <w:rPr>
                <w:rFonts w:cs="Arial"/>
                <w:sz w:val="18"/>
                <w:szCs w:val="18"/>
                <w:lang w:val="pt-PT"/>
              </w:rPr>
              <w:t>(AVAC)</w:t>
            </w:r>
          </w:p>
          <w:p w:rsidR="008E2FC5" w:rsidRPr="002A7E9B" w:rsidRDefault="008E2FC5" w:rsidP="003F7A27">
            <w:pPr>
              <w:spacing w:before="100" w:after="100"/>
              <w:ind w:left="0"/>
              <w:rPr>
                <w:rFonts w:cs="Arial"/>
                <w:sz w:val="18"/>
                <w:szCs w:val="18"/>
                <w:lang w:val="pt-PT"/>
              </w:rPr>
            </w:pPr>
          </w:p>
          <w:p w:rsidR="00EC732D" w:rsidRPr="002A7E9B" w:rsidRDefault="008E2FC5" w:rsidP="003F7A27">
            <w:pPr>
              <w:spacing w:before="100" w:after="100"/>
              <w:ind w:left="0"/>
              <w:rPr>
                <w:rFonts w:cs="Arial"/>
                <w:sz w:val="18"/>
                <w:szCs w:val="18"/>
                <w:lang w:val="pt-PT"/>
              </w:rPr>
            </w:pPr>
            <w:proofErr w:type="gramStart"/>
            <w:r w:rsidRPr="002A7E9B">
              <w:rPr>
                <w:rFonts w:cs="Arial"/>
                <w:sz w:val="18"/>
                <w:szCs w:val="18"/>
                <w:lang w:val="pt-PT"/>
              </w:rPr>
              <w:t>e</w:t>
            </w:r>
            <w:proofErr w:type="gramEnd"/>
          </w:p>
          <w:p w:rsidR="008E2FC5" w:rsidRPr="002A7E9B" w:rsidRDefault="008E2FC5" w:rsidP="003F7A27">
            <w:pPr>
              <w:spacing w:before="100" w:after="100"/>
              <w:ind w:left="0"/>
              <w:rPr>
                <w:rFonts w:cs="Arial"/>
                <w:sz w:val="18"/>
                <w:szCs w:val="18"/>
                <w:lang w:val="pt-PT"/>
              </w:rPr>
            </w:pPr>
          </w:p>
          <w:p w:rsidR="008E2FC5" w:rsidRPr="002A7E9B" w:rsidRDefault="008E2FC5" w:rsidP="003F7A27">
            <w:pPr>
              <w:spacing w:before="100" w:after="100"/>
              <w:ind w:left="0"/>
              <w:rPr>
                <w:rFonts w:cs="Arial"/>
                <w:sz w:val="18"/>
                <w:szCs w:val="18"/>
                <w:lang w:val="pt-PT"/>
              </w:rPr>
            </w:pPr>
            <w:r w:rsidRPr="002A7E9B">
              <w:rPr>
                <w:rFonts w:cs="Arial"/>
                <w:sz w:val="18"/>
                <w:szCs w:val="18"/>
                <w:lang w:val="pt-PT"/>
              </w:rPr>
              <w:t xml:space="preserve">Instalação de painéis solares térmicos para produção de água quente sanitária e climatização (alínea </w:t>
            </w:r>
            <w:proofErr w:type="gramStart"/>
            <w:r w:rsidRPr="002A7E9B">
              <w:rPr>
                <w:rFonts w:cs="Arial"/>
                <w:sz w:val="18"/>
                <w:szCs w:val="18"/>
                <w:lang w:val="pt-PT"/>
              </w:rPr>
              <w:t>b(i</w:t>
            </w:r>
            <w:proofErr w:type="gramEnd"/>
            <w:r w:rsidRPr="002A7E9B">
              <w:rPr>
                <w:rFonts w:cs="Arial"/>
                <w:sz w:val="18"/>
                <w:szCs w:val="18"/>
                <w:lang w:val="pt-PT"/>
              </w:rPr>
              <w:t xml:space="preserve">) </w:t>
            </w:r>
            <w:r w:rsidR="003C7C04" w:rsidRPr="002A7E9B">
              <w:rPr>
                <w:rFonts w:cs="Arial"/>
                <w:sz w:val="18"/>
                <w:szCs w:val="18"/>
                <w:lang w:val="pt-PT"/>
              </w:rPr>
              <w:t xml:space="preserve">do artigo 36.º </w:t>
            </w:r>
            <w:r w:rsidRPr="002A7E9B">
              <w:rPr>
                <w:rFonts w:cs="Arial"/>
                <w:sz w:val="18"/>
                <w:szCs w:val="18"/>
                <w:lang w:val="pt-PT"/>
              </w:rPr>
              <w:t>do RESEUR).</w:t>
            </w:r>
          </w:p>
          <w:p w:rsidR="008E2FC5" w:rsidRPr="002A7E9B" w:rsidRDefault="008E2FC5"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8F4106" w:rsidRPr="002A7E9B" w:rsidRDefault="003C7C04" w:rsidP="00031708">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tc>
        <w:tc>
          <w:tcPr>
            <w:tcW w:w="8788" w:type="dxa"/>
            <w:tcBorders>
              <w:top w:val="single" w:sz="12" w:space="0" w:color="auto"/>
              <w:right w:val="single" w:sz="12" w:space="0" w:color="auto"/>
            </w:tcBorders>
            <w:vAlign w:val="center"/>
          </w:tcPr>
          <w:p w:rsidR="002A24B6" w:rsidRPr="002A7E9B" w:rsidRDefault="005A7912"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Substituição, com </w:t>
            </w:r>
            <w:r w:rsidR="00673C19" w:rsidRPr="002A7E9B">
              <w:rPr>
                <w:rFonts w:ascii="Arial" w:hAnsi="Arial" w:cs="Arial"/>
                <w:sz w:val="18"/>
                <w:szCs w:val="18"/>
                <w:lang w:val="pt-PT"/>
              </w:rPr>
              <w:t>a</w:t>
            </w:r>
            <w:r w:rsidR="002A24B6" w:rsidRPr="002A7E9B">
              <w:rPr>
                <w:rFonts w:ascii="Arial" w:hAnsi="Arial" w:cs="Arial"/>
                <w:sz w:val="18"/>
                <w:szCs w:val="18"/>
                <w:lang w:val="pt-PT"/>
              </w:rPr>
              <w:t>quisição e instalação</w:t>
            </w:r>
            <w:r w:rsidRPr="002A7E9B">
              <w:rPr>
                <w:rFonts w:ascii="Arial" w:hAnsi="Arial" w:cs="Arial"/>
                <w:sz w:val="18"/>
                <w:szCs w:val="18"/>
                <w:lang w:val="pt-PT"/>
              </w:rPr>
              <w:t>,</w:t>
            </w:r>
            <w:r w:rsidR="002A24B6" w:rsidRPr="002A7E9B">
              <w:rPr>
                <w:rFonts w:ascii="Arial" w:hAnsi="Arial" w:cs="Arial"/>
                <w:sz w:val="18"/>
                <w:szCs w:val="18"/>
                <w:lang w:val="pt-PT"/>
              </w:rPr>
              <w:t xml:space="preserve"> de equipamentos </w:t>
            </w:r>
            <w:r w:rsidR="00B63B2D" w:rsidRPr="002A7E9B">
              <w:rPr>
                <w:rFonts w:ascii="Arial" w:hAnsi="Arial" w:cs="Arial"/>
                <w:sz w:val="18"/>
                <w:szCs w:val="18"/>
                <w:lang w:val="pt-PT"/>
              </w:rPr>
              <w:t xml:space="preserve">novos </w:t>
            </w:r>
            <w:r w:rsidR="002A24B6" w:rsidRPr="002A7E9B">
              <w:rPr>
                <w:rFonts w:ascii="Arial" w:hAnsi="Arial" w:cs="Arial"/>
                <w:sz w:val="18"/>
                <w:szCs w:val="18"/>
                <w:lang w:val="pt-PT"/>
              </w:rPr>
              <w:t xml:space="preserve">de iluminação </w:t>
            </w:r>
            <w:r w:rsidRPr="002A7E9B">
              <w:rPr>
                <w:rFonts w:ascii="Arial" w:hAnsi="Arial" w:cs="Arial"/>
                <w:sz w:val="18"/>
                <w:szCs w:val="18"/>
                <w:lang w:val="pt-PT"/>
              </w:rPr>
              <w:t xml:space="preserve">mais eficientes </w:t>
            </w:r>
            <w:r w:rsidR="00CA0429" w:rsidRPr="002A7E9B">
              <w:rPr>
                <w:rFonts w:ascii="Arial" w:hAnsi="Arial" w:cs="Arial"/>
                <w:sz w:val="18"/>
                <w:szCs w:val="18"/>
                <w:lang w:val="pt-PT"/>
              </w:rPr>
              <w:t>(luminárias)</w:t>
            </w:r>
            <w:r w:rsidR="00673C19" w:rsidRPr="002A7E9B">
              <w:rPr>
                <w:rFonts w:ascii="Arial" w:hAnsi="Arial"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Intervenções em sistemas de produção de águas quentes sanitárias (AQS) ou outros sistemas técnicos já existentes, com o objetivo da sua otimização em termos de eficiência energética.</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Substituição</w:t>
            </w:r>
            <w:r w:rsidR="005A7912" w:rsidRPr="002A7E9B">
              <w:rPr>
                <w:rFonts w:ascii="Arial" w:hAnsi="Arial" w:cs="Arial"/>
                <w:sz w:val="18"/>
                <w:szCs w:val="18"/>
                <w:lang w:val="pt-PT"/>
              </w:rPr>
              <w:t>, com</w:t>
            </w:r>
            <w:r w:rsidRPr="002A7E9B">
              <w:rPr>
                <w:rFonts w:ascii="Arial" w:hAnsi="Arial" w:cs="Arial"/>
                <w:sz w:val="18"/>
                <w:szCs w:val="18"/>
                <w:lang w:val="pt-PT"/>
              </w:rPr>
              <w:t xml:space="preserve"> aquisição e instalação</w:t>
            </w:r>
            <w:r w:rsidR="005A7912" w:rsidRPr="002A7E9B">
              <w:rPr>
                <w:rFonts w:ascii="Arial" w:hAnsi="Arial" w:cs="Arial"/>
                <w:sz w:val="18"/>
                <w:szCs w:val="18"/>
                <w:lang w:val="pt-PT"/>
              </w:rPr>
              <w:t>,</w:t>
            </w:r>
            <w:r w:rsidRPr="002A7E9B">
              <w:rPr>
                <w:rFonts w:ascii="Arial" w:hAnsi="Arial" w:cs="Arial"/>
                <w:sz w:val="18"/>
                <w:szCs w:val="18"/>
                <w:lang w:val="pt-PT"/>
              </w:rPr>
              <w:t xml:space="preserve"> de sistema AQS por outro novo, mais eficiente – por exemplo, num edifício devoluto que já apresente algum tipo de sistema de AQS, ainda que esteja devoluto, é elegível a coloc</w:t>
            </w:r>
            <w:r w:rsidR="00673C19" w:rsidRPr="002A7E9B">
              <w:rPr>
                <w:rFonts w:ascii="Arial" w:hAnsi="Arial" w:cs="Arial"/>
                <w:sz w:val="18"/>
                <w:szCs w:val="18"/>
                <w:lang w:val="pt-PT"/>
              </w:rPr>
              <w:t>ação de um novo, mais eficiente;</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Inclui a</w:t>
            </w:r>
            <w:r w:rsidR="005A7912" w:rsidRPr="002A7E9B">
              <w:rPr>
                <w:rFonts w:ascii="Arial" w:hAnsi="Arial" w:cs="Arial"/>
                <w:sz w:val="18"/>
                <w:szCs w:val="18"/>
                <w:lang w:val="pt-PT"/>
              </w:rPr>
              <w:t xml:space="preserve"> substituição</w:t>
            </w:r>
            <w:r w:rsidR="00B63B2D" w:rsidRPr="002A7E9B">
              <w:rPr>
                <w:rFonts w:ascii="Arial" w:hAnsi="Arial" w:cs="Arial"/>
                <w:sz w:val="18"/>
                <w:szCs w:val="18"/>
                <w:lang w:val="pt-PT"/>
              </w:rPr>
              <w:t xml:space="preserve"> por equipamentos novos mais eficientes</w:t>
            </w:r>
            <w:r w:rsidR="005A7912" w:rsidRPr="002A7E9B">
              <w:rPr>
                <w:rFonts w:ascii="Arial" w:hAnsi="Arial" w:cs="Arial"/>
                <w:sz w:val="18"/>
                <w:szCs w:val="18"/>
                <w:lang w:val="pt-PT"/>
              </w:rPr>
              <w:t>, com</w:t>
            </w:r>
            <w:r w:rsidRPr="002A7E9B">
              <w:rPr>
                <w:rFonts w:ascii="Arial" w:hAnsi="Arial" w:cs="Arial"/>
                <w:sz w:val="18"/>
                <w:szCs w:val="18"/>
                <w:lang w:val="pt-PT"/>
              </w:rPr>
              <w:t xml:space="preserve"> aquisição e instalação</w:t>
            </w:r>
            <w:r w:rsidR="005A7912" w:rsidRPr="002A7E9B">
              <w:rPr>
                <w:rFonts w:ascii="Arial" w:hAnsi="Arial" w:cs="Arial"/>
                <w:sz w:val="18"/>
                <w:szCs w:val="18"/>
                <w:lang w:val="pt-PT"/>
              </w:rPr>
              <w:t>,</w:t>
            </w:r>
            <w:r w:rsidRPr="002A7E9B">
              <w:rPr>
                <w:rFonts w:ascii="Arial" w:hAnsi="Arial" w:cs="Arial"/>
                <w:sz w:val="18"/>
                <w:szCs w:val="18"/>
                <w:lang w:val="pt-PT"/>
              </w:rPr>
              <w:t xml:space="preserve"> de esquentadores, caldeiras, termoacumuladores, bombas de calor, entre outros, e canalizações (neste último caso, apenas aquelas que integram o sistema de AQS, ou seja as destinadas à distribuição de água quente)</w:t>
            </w:r>
            <w:r w:rsidR="00673C19" w:rsidRPr="002A7E9B">
              <w:rPr>
                <w:rFonts w:ascii="Arial" w:hAnsi="Arial" w:cs="Arial"/>
                <w:sz w:val="18"/>
                <w:szCs w:val="18"/>
                <w:lang w:val="pt-PT"/>
              </w:rPr>
              <w:t>;</w:t>
            </w:r>
          </w:p>
          <w:p w:rsidR="009B6954"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Nos outros sistemas técnicos, incluem-se os sistemas de climatização (ar condicionado, sistemas de aquecimento central, entre outros) e de sistemas de ventilação pontual em casas de banho, mas atendendo sempre à necessidade de substituição de um sistema previamente existente </w:t>
            </w:r>
            <w:r w:rsidR="00673C19" w:rsidRPr="002A7E9B">
              <w:rPr>
                <w:rFonts w:ascii="Arial" w:hAnsi="Arial" w:cs="Arial"/>
                <w:sz w:val="18"/>
                <w:szCs w:val="18"/>
                <w:lang w:val="pt-PT"/>
              </w:rPr>
              <w:t>por outro de elevada eficiência;</w:t>
            </w:r>
          </w:p>
          <w:p w:rsidR="008F4106" w:rsidRPr="002A7E9B" w:rsidRDefault="008F4106"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w:t>
            </w:r>
            <w:r w:rsidR="00CF04A0" w:rsidRPr="002A7E9B">
              <w:rPr>
                <w:rFonts w:ascii="Arial" w:hAnsi="Arial" w:cs="Arial"/>
                <w:sz w:val="18"/>
                <w:szCs w:val="18"/>
                <w:lang w:val="pt-PT"/>
              </w:rPr>
              <w:t>coletores</w:t>
            </w:r>
            <w:r w:rsidRPr="002A7E9B">
              <w:rPr>
                <w:rFonts w:ascii="Arial" w:hAnsi="Arial" w:cs="Arial"/>
                <w:sz w:val="18"/>
                <w:szCs w:val="18"/>
                <w:lang w:val="pt-PT"/>
              </w:rPr>
              <w:t xml:space="preserve"> solares térmicos em coberturas, fachadas ou logradouros, destinados </w:t>
            </w:r>
            <w:r w:rsidR="00CF04A0" w:rsidRPr="002A7E9B">
              <w:rPr>
                <w:rFonts w:ascii="Arial" w:hAnsi="Arial" w:cs="Arial"/>
                <w:sz w:val="18"/>
                <w:szCs w:val="18"/>
                <w:lang w:val="pt-PT"/>
              </w:rPr>
              <w:t xml:space="preserve">a </w:t>
            </w:r>
            <w:r w:rsidRPr="002A7E9B">
              <w:rPr>
                <w:rFonts w:ascii="Arial" w:hAnsi="Arial" w:cs="Arial"/>
                <w:sz w:val="18"/>
                <w:szCs w:val="18"/>
                <w:lang w:val="pt-PT"/>
              </w:rPr>
              <w:t>águas</w:t>
            </w:r>
            <w:r w:rsidR="00CF04A0" w:rsidRPr="002A7E9B">
              <w:rPr>
                <w:rFonts w:ascii="Arial" w:hAnsi="Arial" w:cs="Arial"/>
                <w:sz w:val="18"/>
                <w:szCs w:val="18"/>
                <w:lang w:val="pt-PT"/>
              </w:rPr>
              <w:t xml:space="preserve"> quentes</w:t>
            </w:r>
            <w:r w:rsidRPr="002A7E9B">
              <w:rPr>
                <w:rFonts w:ascii="Arial" w:hAnsi="Arial" w:cs="Arial"/>
                <w:sz w:val="18"/>
                <w:szCs w:val="18"/>
                <w:lang w:val="pt-PT"/>
              </w:rPr>
              <w:t xml:space="preserve"> sanitárias (AQS) ou climatização</w:t>
            </w:r>
            <w:r w:rsidR="00673C19" w:rsidRPr="002A7E9B">
              <w:rPr>
                <w:rFonts w:ascii="Arial" w:hAnsi="Arial" w:cs="Arial"/>
                <w:sz w:val="18"/>
                <w:szCs w:val="18"/>
                <w:lang w:val="pt-PT"/>
              </w:rPr>
              <w:t>;</w:t>
            </w:r>
          </w:p>
          <w:p w:rsidR="00EC732D" w:rsidRPr="002A7E9B" w:rsidRDefault="00B63B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Substituição, com aquisição e instalação, por s</w:t>
            </w:r>
            <w:r w:rsidR="009B6954" w:rsidRPr="002A7E9B">
              <w:rPr>
                <w:rFonts w:ascii="Arial" w:hAnsi="Arial" w:cs="Arial"/>
                <w:sz w:val="18"/>
                <w:szCs w:val="18"/>
                <w:lang w:val="pt-PT"/>
              </w:rPr>
              <w:t>istemas de produção de energia a partir de biomassa (como recuperadores de calor) entre outros sistemas e equipamentos de produção de energia a partir de fontes renováveis (com exceção da produção de energia elétrica).</w:t>
            </w:r>
          </w:p>
          <w:p w:rsidR="009B6954" w:rsidRPr="002A7E9B" w:rsidRDefault="009B6954" w:rsidP="003F7A27">
            <w:pPr>
              <w:spacing w:before="100" w:after="100"/>
              <w:ind w:left="0"/>
              <w:rPr>
                <w:rFonts w:cs="Arial"/>
                <w:b/>
                <w:sz w:val="18"/>
                <w:szCs w:val="18"/>
                <w:u w:val="single"/>
                <w:lang w:val="pt-PT"/>
              </w:rPr>
            </w:pPr>
          </w:p>
          <w:p w:rsidR="00EC732D" w:rsidRPr="002A7E9B" w:rsidRDefault="005A4896" w:rsidP="003F7A27">
            <w:pPr>
              <w:spacing w:before="100" w:after="100"/>
              <w:ind w:left="0"/>
              <w:rPr>
                <w:rFonts w:cs="Arial"/>
                <w:b/>
                <w:sz w:val="18"/>
                <w:szCs w:val="18"/>
                <w:lang w:val="pt-PT"/>
              </w:rPr>
            </w:pPr>
            <w:r w:rsidRPr="002A7E9B">
              <w:rPr>
                <w:rFonts w:cs="Arial"/>
                <w:b/>
                <w:sz w:val="18"/>
                <w:szCs w:val="18"/>
                <w:lang w:val="pt-PT"/>
              </w:rPr>
              <w:t>Exemplos de operações n</w:t>
            </w:r>
            <w:r w:rsidR="00EC732D" w:rsidRPr="002A7E9B">
              <w:rPr>
                <w:rFonts w:cs="Arial"/>
                <w:b/>
                <w:sz w:val="18"/>
                <w:szCs w:val="18"/>
                <w:lang w:val="pt-PT"/>
              </w:rPr>
              <w:t>ão elegíve</w:t>
            </w:r>
            <w:r w:rsidRPr="002A7E9B">
              <w:rPr>
                <w:rFonts w:cs="Arial"/>
                <w:b/>
                <w:sz w:val="18"/>
                <w:szCs w:val="18"/>
                <w:lang w:val="pt-PT"/>
              </w:rPr>
              <w:t>is (não exaustivo)</w:t>
            </w:r>
            <w:r w:rsidR="00EC732D" w:rsidRPr="002A7E9B">
              <w:rPr>
                <w:rFonts w:cs="Arial"/>
                <w:b/>
                <w:sz w:val="18"/>
                <w:szCs w:val="18"/>
                <w:lang w:val="pt-PT"/>
              </w:rPr>
              <w:t>:</w:t>
            </w:r>
          </w:p>
          <w:p w:rsidR="00CA0429" w:rsidRPr="002A7E9B" w:rsidRDefault="00CA0429" w:rsidP="003F7A27">
            <w:pPr>
              <w:pStyle w:val="PargrafodaLista"/>
              <w:numPr>
                <w:ilvl w:val="0"/>
                <w:numId w:val="4"/>
              </w:numPr>
              <w:spacing w:before="100" w:after="100" w:line="240" w:lineRule="auto"/>
              <w:rPr>
                <w:rFonts w:ascii="Arial" w:hAnsi="Arial" w:cs="Arial"/>
                <w:sz w:val="18"/>
                <w:szCs w:val="18"/>
                <w:lang w:val="pt-PT"/>
              </w:rPr>
            </w:pPr>
            <w:proofErr w:type="spellStart"/>
            <w:r w:rsidRPr="002A7E9B">
              <w:rPr>
                <w:rFonts w:ascii="Arial" w:hAnsi="Arial" w:cs="Arial"/>
                <w:i/>
                <w:sz w:val="18"/>
                <w:szCs w:val="18"/>
                <w:lang w:val="pt-PT"/>
              </w:rPr>
              <w:t>Retrofit</w:t>
            </w:r>
            <w:proofErr w:type="spellEnd"/>
            <w:r w:rsidRPr="002A7E9B">
              <w:rPr>
                <w:rFonts w:ascii="Arial" w:hAnsi="Arial" w:cs="Arial"/>
                <w:sz w:val="18"/>
                <w:szCs w:val="18"/>
                <w:lang w:val="pt-PT"/>
              </w:rPr>
              <w:t xml:space="preserve"> de sistemas de iluminação (adaptaçã</w:t>
            </w:r>
            <w:r w:rsidR="003C7C04" w:rsidRPr="002A7E9B">
              <w:rPr>
                <w:rFonts w:ascii="Arial" w:hAnsi="Arial" w:cs="Arial"/>
                <w:sz w:val="18"/>
                <w:szCs w:val="18"/>
                <w:lang w:val="pt-PT"/>
              </w:rPr>
              <w:t xml:space="preserve">o de luminárias existentes para, por exemplo, </w:t>
            </w:r>
            <w:r w:rsidRPr="002A7E9B">
              <w:rPr>
                <w:rFonts w:ascii="Arial" w:hAnsi="Arial" w:cs="Arial"/>
                <w:sz w:val="18"/>
                <w:szCs w:val="18"/>
                <w:lang w:val="pt-PT"/>
              </w:rPr>
              <w:t>tecnologia LED)</w:t>
            </w:r>
            <w:r w:rsidR="00F37EEB" w:rsidRPr="002A7E9B">
              <w:rPr>
                <w:rFonts w:ascii="Arial" w:hAnsi="Arial" w:cs="Arial"/>
                <w:sz w:val="18"/>
                <w:szCs w:val="18"/>
                <w:lang w:val="pt-PT"/>
              </w:rPr>
              <w:t>;</w:t>
            </w:r>
          </w:p>
          <w:p w:rsidR="00EC732D" w:rsidRPr="002A7E9B" w:rsidRDefault="00EC732D" w:rsidP="003F7A27">
            <w:pPr>
              <w:pStyle w:val="PargrafodaLista"/>
              <w:numPr>
                <w:ilvl w:val="0"/>
                <w:numId w:val="4"/>
              </w:numPr>
              <w:spacing w:before="100" w:after="100" w:line="240" w:lineRule="auto"/>
              <w:rPr>
                <w:rFonts w:ascii="Arial" w:hAnsi="Arial" w:cs="Arial"/>
                <w:sz w:val="18"/>
                <w:szCs w:val="18"/>
                <w:lang w:val="pt-PT"/>
              </w:rPr>
            </w:pPr>
            <w:r w:rsidRPr="002A7E9B">
              <w:rPr>
                <w:rFonts w:ascii="Arial" w:hAnsi="Arial" w:cs="Arial"/>
                <w:sz w:val="18"/>
                <w:szCs w:val="18"/>
                <w:lang w:val="pt-PT"/>
              </w:rPr>
              <w:t>Aquisição e instalação de sistema de AQS e de outros sistemas t</w:t>
            </w:r>
            <w:r w:rsidR="00F37EEB" w:rsidRPr="002A7E9B">
              <w:rPr>
                <w:rFonts w:ascii="Arial" w:hAnsi="Arial" w:cs="Arial"/>
                <w:sz w:val="18"/>
                <w:szCs w:val="18"/>
                <w:lang w:val="pt-PT"/>
              </w:rPr>
              <w:t>écnicos onde não existia nenhum;</w:t>
            </w:r>
          </w:p>
          <w:p w:rsidR="00EC732D" w:rsidRPr="002A7E9B" w:rsidRDefault="00EC732D"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Aquisição e instalação de sistemas de ventilação pontual (exaustores) de cozinha.</w:t>
            </w:r>
          </w:p>
          <w:p w:rsidR="002A24B6" w:rsidRPr="002A7E9B" w:rsidRDefault="002A24B6" w:rsidP="003F7A27">
            <w:pPr>
              <w:pStyle w:val="PargrafodaLista"/>
              <w:numPr>
                <w:ilvl w:val="0"/>
                <w:numId w:val="4"/>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I</w:t>
            </w:r>
            <w:r w:rsidR="00247C4E" w:rsidRPr="002A7E9B">
              <w:rPr>
                <w:rFonts w:ascii="Arial" w:hAnsi="Arial" w:cs="Arial"/>
                <w:sz w:val="18"/>
                <w:szCs w:val="18"/>
                <w:lang w:val="pt-PT"/>
              </w:rPr>
              <w:t>ntervenções nas instalações elétricas.</w:t>
            </w:r>
          </w:p>
        </w:tc>
      </w:tr>
      <w:tr w:rsidR="002A7E9B" w:rsidRPr="002A7E9B" w:rsidTr="003F7A27">
        <w:trPr>
          <w:trHeight w:val="619"/>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lang w:val="pt-PT"/>
              </w:rPr>
            </w:pPr>
            <w:r w:rsidRPr="002A7E9B">
              <w:rPr>
                <w:rFonts w:cs="Arial"/>
                <w:b/>
                <w:sz w:val="18"/>
                <w:szCs w:val="18"/>
                <w:lang w:val="pt-PT"/>
              </w:rPr>
              <w:t xml:space="preserve">Custos Padrão: </w:t>
            </w:r>
            <w:r w:rsidR="00CA0429" w:rsidRPr="002A7E9B">
              <w:rPr>
                <w:rFonts w:cs="Arial"/>
                <w:sz w:val="18"/>
                <w:szCs w:val="18"/>
                <w:lang w:val="pt-PT"/>
              </w:rPr>
              <w:t>Não</w:t>
            </w:r>
            <w:r w:rsidR="00573843" w:rsidRPr="002A7E9B">
              <w:rPr>
                <w:rFonts w:cs="Arial"/>
                <w:sz w:val="18"/>
                <w:szCs w:val="18"/>
                <w:lang w:val="pt-PT"/>
              </w:rPr>
              <w:t>.</w:t>
            </w:r>
          </w:p>
        </w:tc>
      </w:tr>
      <w:tr w:rsidR="002A7E9B" w:rsidRPr="002A7E9B" w:rsidTr="00A05769">
        <w:trPr>
          <w:trHeight w:val="1448"/>
          <w:jc w:val="center"/>
        </w:trPr>
        <w:tc>
          <w:tcPr>
            <w:tcW w:w="5382" w:type="dxa"/>
            <w:vMerge w:val="restart"/>
            <w:tcBorders>
              <w:top w:val="single" w:sz="12" w:space="0" w:color="auto"/>
              <w:left w:val="single" w:sz="12" w:space="0" w:color="auto"/>
            </w:tcBorders>
            <w:vAlign w:val="center"/>
          </w:tcPr>
          <w:p w:rsidR="00EC732D" w:rsidRPr="002A7E9B" w:rsidRDefault="005813E1" w:rsidP="003F7A27">
            <w:pPr>
              <w:spacing w:before="100" w:after="100"/>
              <w:ind w:left="0"/>
              <w:rPr>
                <w:rFonts w:cs="Arial"/>
                <w:sz w:val="18"/>
                <w:szCs w:val="18"/>
                <w:lang w:val="pt-PT"/>
              </w:rPr>
            </w:pPr>
            <w:proofErr w:type="spellStart"/>
            <w:proofErr w:type="gramStart"/>
            <w:r w:rsidRPr="002A7E9B">
              <w:rPr>
                <w:rFonts w:cs="Arial"/>
                <w:b/>
                <w:sz w:val="18"/>
                <w:szCs w:val="18"/>
                <w:lang w:val="pt-PT"/>
              </w:rPr>
              <w:t>i</w:t>
            </w:r>
            <w:r w:rsidR="00C575D7" w:rsidRPr="002A7E9B">
              <w:rPr>
                <w:rFonts w:cs="Arial"/>
                <w:b/>
                <w:sz w:val="18"/>
                <w:szCs w:val="18"/>
                <w:lang w:val="pt-PT"/>
              </w:rPr>
              <w:t>v</w:t>
            </w:r>
            <w:proofErr w:type="spellEnd"/>
            <w:proofErr w:type="gramEnd"/>
            <w:r w:rsidR="00C575D7" w:rsidRPr="002A7E9B">
              <w:rPr>
                <w:rFonts w:cs="Arial"/>
                <w:b/>
                <w:sz w:val="18"/>
                <w:szCs w:val="18"/>
                <w:lang w:val="pt-PT"/>
              </w:rPr>
              <w:t>)</w:t>
            </w:r>
            <w:r w:rsidR="00C575D7" w:rsidRPr="002A7E9B">
              <w:rPr>
                <w:rFonts w:cs="Arial"/>
                <w:sz w:val="18"/>
                <w:szCs w:val="18"/>
                <w:lang w:val="pt-PT"/>
              </w:rPr>
              <w:t xml:space="preserve"> </w:t>
            </w:r>
            <w:r w:rsidR="00EC732D" w:rsidRPr="002A7E9B">
              <w:rPr>
                <w:rFonts w:cs="Arial"/>
                <w:sz w:val="18"/>
                <w:szCs w:val="18"/>
                <w:lang w:val="pt-PT"/>
              </w:rPr>
              <w:t>Instalação de sistemas e equipamentos que permitam a gestão de consumos de energia, por forma a contabilizar e gerir os consumos de energia, gerando assim economias e possibilitando a sua transferência entre períodos tarifários.</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EC732D" w:rsidRPr="002A7E9B" w:rsidRDefault="00C53C03" w:rsidP="003F7A27">
            <w:pPr>
              <w:spacing w:before="100" w:after="100"/>
              <w:ind w:left="0"/>
              <w:rPr>
                <w:rFonts w:cs="Arial"/>
                <w:sz w:val="18"/>
                <w:szCs w:val="18"/>
                <w:lang w:val="pt-PT"/>
              </w:rPr>
            </w:pPr>
            <w:r w:rsidRPr="002A7E9B">
              <w:rPr>
                <w:rFonts w:cs="Arial"/>
                <w:sz w:val="18"/>
                <w:szCs w:val="18"/>
                <w:lang w:val="pt-PT"/>
              </w:rPr>
              <w:lastRenderedPageBreak/>
              <w:t xml:space="preserve">Os </w:t>
            </w:r>
            <w:r w:rsidR="00EC732D" w:rsidRPr="002A7E9B">
              <w:rPr>
                <w:rFonts w:cs="Arial"/>
                <w:sz w:val="18"/>
                <w:szCs w:val="18"/>
                <w:lang w:val="pt-PT"/>
              </w:rPr>
              <w:t xml:space="preserve">requisitos </w:t>
            </w:r>
            <w:r w:rsidRPr="002A7E9B">
              <w:rPr>
                <w:rFonts w:cs="Arial"/>
                <w:sz w:val="18"/>
                <w:szCs w:val="18"/>
                <w:lang w:val="pt-PT"/>
              </w:rPr>
              <w:t>legais em vigor</w:t>
            </w:r>
            <w:r w:rsidR="00EC732D" w:rsidRPr="002A7E9B">
              <w:rPr>
                <w:rFonts w:cs="Arial"/>
                <w:sz w:val="18"/>
                <w:szCs w:val="18"/>
                <w:lang w:val="pt-PT"/>
              </w:rPr>
              <w:t xml:space="preserve"> aplicáveis </w:t>
            </w:r>
            <w:r w:rsidRPr="002A7E9B">
              <w:rPr>
                <w:rFonts w:cs="Arial"/>
                <w:sz w:val="18"/>
                <w:szCs w:val="18"/>
                <w:lang w:val="pt-PT"/>
              </w:rPr>
              <w:t>à tipologia da operação a implementar e edifício a intervencionar.</w:t>
            </w:r>
          </w:p>
        </w:tc>
        <w:tc>
          <w:tcPr>
            <w:tcW w:w="8788" w:type="dxa"/>
            <w:tcBorders>
              <w:top w:val="single" w:sz="12" w:space="0" w:color="auto"/>
              <w:right w:val="single" w:sz="12" w:space="0" w:color="auto"/>
            </w:tcBorders>
            <w:vAlign w:val="center"/>
          </w:tcPr>
          <w:p w:rsidR="00EC732D" w:rsidRPr="002A7E9B" w:rsidRDefault="00EC732D" w:rsidP="003F7A27">
            <w:pPr>
              <w:pStyle w:val="PargrafodaLista"/>
              <w:numPr>
                <w:ilvl w:val="0"/>
                <w:numId w:val="6"/>
              </w:numPr>
              <w:spacing w:before="100" w:after="100" w:line="240" w:lineRule="auto"/>
              <w:rPr>
                <w:rFonts w:ascii="Arial" w:hAnsi="Arial" w:cs="Arial"/>
                <w:sz w:val="18"/>
                <w:szCs w:val="18"/>
                <w:lang w:val="pt-PT"/>
              </w:rPr>
            </w:pPr>
            <w:r w:rsidRPr="002A7E9B">
              <w:rPr>
                <w:rFonts w:ascii="Arial" w:hAnsi="Arial" w:cs="Arial"/>
                <w:sz w:val="18"/>
                <w:szCs w:val="18"/>
                <w:lang w:val="pt-PT"/>
              </w:rPr>
              <w:lastRenderedPageBreak/>
              <w:t xml:space="preserve">Aquisição e instalação de equipamentos e sistemas que permitem, do ponto de vista do utilizador, </w:t>
            </w:r>
            <w:proofErr w:type="gramStart"/>
            <w:r w:rsidRPr="002A7E9B">
              <w:rPr>
                <w:rFonts w:ascii="Arial" w:hAnsi="Arial" w:cs="Arial"/>
                <w:sz w:val="18"/>
                <w:szCs w:val="18"/>
                <w:lang w:val="pt-PT"/>
              </w:rPr>
              <w:t>gerir</w:t>
            </w:r>
            <w:proofErr w:type="gramEnd"/>
            <w:r w:rsidRPr="002A7E9B">
              <w:rPr>
                <w:rFonts w:ascii="Arial" w:hAnsi="Arial" w:cs="Arial"/>
                <w:sz w:val="18"/>
                <w:szCs w:val="18"/>
                <w:lang w:val="pt-PT"/>
              </w:rPr>
              <w:t xml:space="preserve"> o consumo de energia da fração ou edifício (por ex. Termostatos, relógios programadores de corrente elétrica, reguladores de intensidade de luz).</w:t>
            </w:r>
          </w:p>
          <w:p w:rsidR="00EC732D" w:rsidRPr="002A7E9B" w:rsidRDefault="00EC732D" w:rsidP="003F7A27">
            <w:pPr>
              <w:spacing w:before="100" w:after="100"/>
              <w:ind w:left="0"/>
              <w:rPr>
                <w:rFonts w:cs="Arial"/>
                <w:sz w:val="18"/>
                <w:szCs w:val="18"/>
                <w:lang w:val="pt-PT"/>
              </w:rPr>
            </w:pPr>
          </w:p>
          <w:p w:rsidR="00EC732D" w:rsidRPr="002A7E9B" w:rsidRDefault="005221E3" w:rsidP="003F7A27">
            <w:pPr>
              <w:spacing w:before="100" w:after="100"/>
              <w:ind w:left="0"/>
              <w:rPr>
                <w:rFonts w:cs="Arial"/>
                <w:b/>
                <w:sz w:val="18"/>
                <w:szCs w:val="18"/>
                <w:lang w:val="pt-PT"/>
              </w:rPr>
            </w:pPr>
            <w:r w:rsidRPr="002A7E9B">
              <w:rPr>
                <w:rFonts w:cs="Arial"/>
                <w:b/>
                <w:sz w:val="18"/>
                <w:szCs w:val="18"/>
                <w:lang w:val="pt-PT"/>
              </w:rPr>
              <w:t>Exemplos de operações não elegíveis (não exaustivo)</w:t>
            </w:r>
            <w:r w:rsidR="00EC732D" w:rsidRPr="002A7E9B">
              <w:rPr>
                <w:rFonts w:cs="Arial"/>
                <w:b/>
                <w:sz w:val="18"/>
                <w:szCs w:val="18"/>
                <w:lang w:val="pt-PT"/>
              </w:rPr>
              <w:t>:</w:t>
            </w:r>
          </w:p>
          <w:p w:rsidR="00EC732D" w:rsidRPr="002A7E9B" w:rsidRDefault="00EC732D"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Contadores inteligentes e eletrodomésticos que permitam regulação do consumo de energia.</w:t>
            </w:r>
          </w:p>
        </w:tc>
      </w:tr>
      <w:tr w:rsidR="002A7E9B" w:rsidRPr="002A7E9B" w:rsidTr="00A342B8">
        <w:trPr>
          <w:trHeight w:val="1028"/>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rPr>
            </w:pPr>
            <w:r w:rsidRPr="002A7E9B">
              <w:rPr>
                <w:rFonts w:cs="Arial"/>
                <w:b/>
                <w:sz w:val="18"/>
                <w:szCs w:val="18"/>
                <w:lang w:val="pt-PT"/>
              </w:rPr>
              <w:t xml:space="preserve">Custos Padrão: </w:t>
            </w:r>
            <w:r w:rsidR="00B63B2D" w:rsidRPr="002A7E9B">
              <w:rPr>
                <w:rFonts w:cs="Arial"/>
                <w:sz w:val="18"/>
                <w:szCs w:val="18"/>
                <w:lang w:val="pt-PT"/>
              </w:rPr>
              <w:t>Não</w:t>
            </w:r>
            <w:r w:rsidR="00105269" w:rsidRPr="002A7E9B">
              <w:rPr>
                <w:rFonts w:cs="Arial"/>
                <w:sz w:val="18"/>
                <w:szCs w:val="18"/>
                <w:lang w:val="pt-PT"/>
              </w:rPr>
              <w:t>.</w:t>
            </w:r>
          </w:p>
        </w:tc>
      </w:tr>
    </w:tbl>
    <w:p w:rsidR="00247C4E" w:rsidRPr="002A7E9B" w:rsidRDefault="00247C4E" w:rsidP="003F7A27">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632E6F">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4E072F">
        <w:trPr>
          <w:trHeight w:val="576"/>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606785" w:rsidP="003F7A27">
            <w:pPr>
              <w:spacing w:before="100" w:after="100"/>
              <w:ind w:left="0"/>
              <w:rPr>
                <w:rFonts w:cs="Arial"/>
                <w:b/>
                <w:sz w:val="18"/>
                <w:szCs w:val="18"/>
                <w:lang w:val="pt-PT"/>
              </w:rPr>
            </w:pPr>
            <w:r>
              <w:rPr>
                <w:rFonts w:cs="Arial"/>
                <w:b/>
                <w:sz w:val="18"/>
                <w:szCs w:val="18"/>
                <w:lang w:val="pt-PT"/>
              </w:rPr>
              <w:t xml:space="preserve">Artigo 36º </w:t>
            </w:r>
            <w:r w:rsidR="00EC732D" w:rsidRPr="002A7E9B">
              <w:rPr>
                <w:rFonts w:cs="Arial"/>
                <w:b/>
                <w:sz w:val="18"/>
                <w:szCs w:val="18"/>
                <w:lang w:val="pt-PT"/>
              </w:rPr>
              <w:t xml:space="preserve">b) Intervenções ao nível da promoção de energias renováveis nos edifícios e equipamentos da administração </w:t>
            </w:r>
            <w:r w:rsidR="005813E1" w:rsidRPr="002A7E9B">
              <w:rPr>
                <w:rFonts w:cs="Arial"/>
                <w:b/>
                <w:sz w:val="18"/>
                <w:szCs w:val="18"/>
                <w:lang w:val="pt-PT"/>
              </w:rPr>
              <w:t xml:space="preserve">local </w:t>
            </w:r>
            <w:r w:rsidR="008F4106" w:rsidRPr="002A7E9B">
              <w:rPr>
                <w:rFonts w:cs="Arial"/>
                <w:b/>
                <w:sz w:val="18"/>
                <w:szCs w:val="18"/>
                <w:lang w:val="pt-PT"/>
              </w:rPr>
              <w:t xml:space="preserve">para autoconsumo </w:t>
            </w:r>
            <w:r w:rsidR="00625C82" w:rsidRPr="002A7E9B">
              <w:rPr>
                <w:rFonts w:cs="Arial"/>
                <w:b/>
                <w:sz w:val="18"/>
                <w:szCs w:val="18"/>
                <w:lang w:val="pt-PT"/>
              </w:rPr>
              <w:t>(</w:t>
            </w:r>
            <w:r w:rsidR="008F4106" w:rsidRPr="002A7E9B">
              <w:rPr>
                <w:rFonts w:cs="Arial"/>
                <w:b/>
                <w:sz w:val="18"/>
                <w:szCs w:val="18"/>
                <w:lang w:val="pt-PT"/>
              </w:rPr>
              <w:t>por via da produção de energia elétrica</w:t>
            </w:r>
            <w:r w:rsidR="00625C82" w:rsidRPr="002A7E9B">
              <w:rPr>
                <w:rFonts w:cs="Arial"/>
                <w:b/>
                <w:sz w:val="18"/>
                <w:szCs w:val="18"/>
                <w:lang w:val="pt-PT"/>
              </w:rPr>
              <w:t xml:space="preserve">) desde que façam parte de soluções integradas que visem a eficiência energética </w:t>
            </w:r>
          </w:p>
        </w:tc>
      </w:tr>
      <w:tr w:rsidR="002A7E9B" w:rsidRPr="002A7E9B" w:rsidTr="00A05769">
        <w:trPr>
          <w:trHeight w:val="2070"/>
          <w:jc w:val="center"/>
        </w:trPr>
        <w:tc>
          <w:tcPr>
            <w:tcW w:w="5382" w:type="dxa"/>
            <w:vMerge w:val="restart"/>
            <w:tcBorders>
              <w:top w:val="single" w:sz="12" w:space="0" w:color="auto"/>
              <w:left w:val="single" w:sz="12" w:space="0" w:color="auto"/>
            </w:tcBorders>
            <w:vAlign w:val="center"/>
          </w:tcPr>
          <w:p w:rsidR="00EC732D" w:rsidRPr="002A7E9B" w:rsidRDefault="008E2FC5" w:rsidP="003F7A27">
            <w:pPr>
              <w:spacing w:before="100" w:after="100"/>
              <w:ind w:left="0"/>
              <w:rPr>
                <w:rFonts w:cs="Arial"/>
                <w:sz w:val="18"/>
                <w:szCs w:val="18"/>
                <w:lang w:val="pt-PT"/>
              </w:rPr>
            </w:pPr>
            <w:proofErr w:type="spellStart"/>
            <w:proofErr w:type="gramStart"/>
            <w:r w:rsidRPr="002A7E9B">
              <w:rPr>
                <w:rFonts w:cs="Arial"/>
                <w:sz w:val="18"/>
                <w:szCs w:val="18"/>
                <w:lang w:val="pt-PT"/>
              </w:rPr>
              <w:t>ii</w:t>
            </w:r>
            <w:proofErr w:type="spellEnd"/>
            <w:proofErr w:type="gramEnd"/>
            <w:r w:rsidRPr="002A7E9B">
              <w:rPr>
                <w:rFonts w:cs="Arial"/>
                <w:sz w:val="18"/>
                <w:szCs w:val="18"/>
                <w:lang w:val="pt-PT"/>
              </w:rPr>
              <w:t xml:space="preserve">) </w:t>
            </w:r>
            <w:r w:rsidR="00EC732D" w:rsidRPr="002A7E9B">
              <w:rPr>
                <w:rFonts w:cs="Arial"/>
                <w:sz w:val="18"/>
                <w:szCs w:val="18"/>
                <w:lang w:val="pt-PT"/>
              </w:rPr>
              <w:t xml:space="preserve">Instalação de sistemas de produção de energia </w:t>
            </w:r>
            <w:r w:rsidR="009B6954" w:rsidRPr="002A7E9B">
              <w:rPr>
                <w:rFonts w:cs="Arial"/>
                <w:sz w:val="18"/>
                <w:szCs w:val="18"/>
                <w:lang w:val="pt-PT"/>
              </w:rPr>
              <w:t xml:space="preserve">elétrica </w:t>
            </w:r>
            <w:r w:rsidR="00EC732D" w:rsidRPr="002A7E9B">
              <w:rPr>
                <w:rFonts w:cs="Arial"/>
                <w:sz w:val="18"/>
                <w:szCs w:val="18"/>
                <w:lang w:val="pt-PT"/>
              </w:rPr>
              <w:t>para autoconsumo a parti</w:t>
            </w:r>
            <w:r w:rsidR="005A7912" w:rsidRPr="002A7E9B">
              <w:rPr>
                <w:rFonts w:cs="Arial"/>
                <w:sz w:val="18"/>
                <w:szCs w:val="18"/>
                <w:lang w:val="pt-PT"/>
              </w:rPr>
              <w:t>r de fontes de energia renováveis</w:t>
            </w:r>
            <w:r w:rsidR="00EC732D" w:rsidRPr="002A7E9B">
              <w:rPr>
                <w:rFonts w:cs="Arial"/>
                <w:sz w:val="18"/>
                <w:szCs w:val="18"/>
                <w:lang w:val="pt-PT"/>
              </w:rPr>
              <w:t>.</w:t>
            </w:r>
          </w:p>
          <w:p w:rsidR="00EC732D" w:rsidRPr="002A7E9B" w:rsidRDefault="00EC732D"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555DFC" w:rsidRPr="002A7E9B" w:rsidRDefault="00555DFC"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p w:rsidR="00EC732D" w:rsidRPr="002A7E9B" w:rsidRDefault="00EC732D" w:rsidP="003F7A27">
            <w:pPr>
              <w:spacing w:before="100" w:after="100"/>
              <w:ind w:left="0"/>
              <w:rPr>
                <w:rFonts w:cs="Arial"/>
                <w:sz w:val="18"/>
                <w:szCs w:val="18"/>
                <w:lang w:val="pt-PT"/>
              </w:rPr>
            </w:pPr>
            <w:r w:rsidRPr="002A7E9B">
              <w:rPr>
                <w:rFonts w:cs="Arial"/>
                <w:sz w:val="18"/>
                <w:szCs w:val="18"/>
                <w:lang w:val="pt-PT"/>
              </w:rPr>
              <w:t>A intervenção deverá cumprir</w:t>
            </w:r>
            <w:r w:rsidR="00555DFC" w:rsidRPr="002A7E9B">
              <w:rPr>
                <w:rFonts w:cs="Arial"/>
                <w:sz w:val="18"/>
                <w:szCs w:val="18"/>
                <w:lang w:val="pt-PT"/>
              </w:rPr>
              <w:t>, sempre que aplicável,</w:t>
            </w:r>
            <w:r w:rsidRPr="002A7E9B">
              <w:rPr>
                <w:rFonts w:cs="Arial"/>
                <w:sz w:val="18"/>
                <w:szCs w:val="18"/>
                <w:lang w:val="pt-PT"/>
              </w:rPr>
              <w:t xml:space="preserve"> com os requisitos do Decreto-Lei n.º 153/2014 de 20 de outubro</w:t>
            </w:r>
            <w:r w:rsidR="003710EB" w:rsidRPr="002A7E9B">
              <w:rPr>
                <w:rFonts w:cs="Arial"/>
                <w:sz w:val="18"/>
                <w:szCs w:val="18"/>
                <w:lang w:val="pt-PT"/>
              </w:rPr>
              <w:t>: no caso de sistemas de produção de energia elétrica para autoconsumo, só são admitidas como elegíveis Unidades de Produção de Autoconsumo (UPAC) tal como definido no normativo legal aplicável. Estas unidades devem ser dimensionadas de forma a garantir a otimização da aproximação da energia elétrica produzida com</w:t>
            </w:r>
            <w:r w:rsidR="003710EB" w:rsidRPr="002A7E9B">
              <w:rPr>
                <w:sz w:val="18"/>
                <w:lang w:val="pt-PT"/>
              </w:rPr>
              <w:t xml:space="preserve"> </w:t>
            </w:r>
            <w:r w:rsidR="003710EB" w:rsidRPr="002A7E9B">
              <w:rPr>
                <w:rFonts w:cs="Arial"/>
                <w:sz w:val="18"/>
                <w:szCs w:val="18"/>
                <w:lang w:val="pt-PT"/>
              </w:rPr>
              <w:t>a quantidade de energia elétrica consumida na instalação.</w:t>
            </w:r>
          </w:p>
        </w:tc>
        <w:tc>
          <w:tcPr>
            <w:tcW w:w="8788" w:type="dxa"/>
            <w:tcBorders>
              <w:top w:val="single" w:sz="12" w:space="0" w:color="auto"/>
              <w:right w:val="single" w:sz="12" w:space="0" w:color="auto"/>
            </w:tcBorders>
            <w:vAlign w:val="center"/>
          </w:tcPr>
          <w:p w:rsidR="00EC732D" w:rsidRPr="002A7E9B" w:rsidRDefault="00EC732D"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unidades de produção </w:t>
            </w:r>
            <w:r w:rsidR="009B6954" w:rsidRPr="002A7E9B">
              <w:rPr>
                <w:rFonts w:ascii="Arial" w:hAnsi="Arial" w:cs="Arial"/>
                <w:sz w:val="18"/>
                <w:szCs w:val="18"/>
                <w:lang w:val="pt-PT"/>
              </w:rPr>
              <w:t xml:space="preserve">de energia elétrica </w:t>
            </w:r>
            <w:r w:rsidRPr="002A7E9B">
              <w:rPr>
                <w:rFonts w:ascii="Arial" w:hAnsi="Arial" w:cs="Arial"/>
                <w:sz w:val="18"/>
                <w:szCs w:val="18"/>
                <w:lang w:val="pt-PT"/>
              </w:rPr>
              <w:t>para autoconsumo baseadas em tecnologias de produção renováveis, a</w:t>
            </w:r>
            <w:r w:rsidR="00CF04A0" w:rsidRPr="002A7E9B">
              <w:rPr>
                <w:rFonts w:ascii="Arial" w:hAnsi="Arial" w:cs="Arial"/>
                <w:sz w:val="18"/>
                <w:szCs w:val="18"/>
                <w:lang w:val="pt-PT"/>
              </w:rPr>
              <w:t xml:space="preserve"> instalar na cobertura, fachada</w:t>
            </w:r>
            <w:r w:rsidR="003710EB" w:rsidRPr="002A7E9B">
              <w:rPr>
                <w:rFonts w:ascii="Arial" w:hAnsi="Arial" w:cs="Arial"/>
                <w:sz w:val="18"/>
                <w:szCs w:val="18"/>
                <w:lang w:val="pt-PT"/>
              </w:rPr>
              <w:t xml:space="preserve"> ou logradouro do edifício</w:t>
            </w:r>
            <w:r w:rsidRPr="002A7E9B">
              <w:rPr>
                <w:rFonts w:ascii="Arial" w:hAnsi="Arial" w:cs="Arial"/>
                <w:sz w:val="18"/>
                <w:szCs w:val="18"/>
                <w:lang w:val="pt-PT"/>
              </w:rPr>
              <w:t>.</w:t>
            </w:r>
          </w:p>
          <w:p w:rsidR="00551F85" w:rsidRPr="002A7E9B" w:rsidRDefault="00EC732D" w:rsidP="003F7A27">
            <w:pPr>
              <w:spacing w:before="100" w:after="100"/>
              <w:ind w:left="0"/>
              <w:rPr>
                <w:rFonts w:cs="Arial"/>
                <w:b/>
                <w:sz w:val="18"/>
                <w:szCs w:val="18"/>
                <w:lang w:val="pt-PT"/>
              </w:rPr>
            </w:pPr>
            <w:r w:rsidRPr="002A7E9B">
              <w:rPr>
                <w:rFonts w:cs="Arial"/>
                <w:b/>
                <w:sz w:val="18"/>
                <w:szCs w:val="18"/>
                <w:lang w:val="pt-PT"/>
              </w:rPr>
              <w:t>Exemplos:</w:t>
            </w:r>
          </w:p>
          <w:p w:rsidR="00EC732D" w:rsidRPr="002A7E9B" w:rsidRDefault="009B6954" w:rsidP="003F7A27">
            <w:pPr>
              <w:spacing w:before="100" w:after="100"/>
              <w:ind w:left="0"/>
              <w:rPr>
                <w:rFonts w:cs="Arial"/>
                <w:sz w:val="18"/>
                <w:szCs w:val="18"/>
                <w:lang w:val="pt-PT"/>
              </w:rPr>
            </w:pPr>
            <w:r w:rsidRPr="002A7E9B">
              <w:rPr>
                <w:rFonts w:cs="Arial"/>
                <w:sz w:val="18"/>
                <w:szCs w:val="18"/>
                <w:lang w:val="pt-PT"/>
              </w:rPr>
              <w:t>A</w:t>
            </w:r>
            <w:r w:rsidR="00EC732D" w:rsidRPr="002A7E9B">
              <w:rPr>
                <w:rFonts w:cs="Arial"/>
                <w:sz w:val="18"/>
                <w:szCs w:val="18"/>
                <w:lang w:val="pt-PT"/>
              </w:rPr>
              <w:t xml:space="preserve">erogeradores, </w:t>
            </w:r>
            <w:r w:rsidRPr="002A7E9B">
              <w:rPr>
                <w:rFonts w:cs="Arial"/>
                <w:sz w:val="18"/>
                <w:szCs w:val="18"/>
                <w:lang w:val="pt-PT"/>
              </w:rPr>
              <w:t xml:space="preserve">sistemas fotovoltaicos </w:t>
            </w:r>
            <w:r w:rsidR="00EC732D" w:rsidRPr="002A7E9B">
              <w:rPr>
                <w:rFonts w:cs="Arial"/>
                <w:sz w:val="18"/>
                <w:szCs w:val="18"/>
                <w:lang w:val="pt-PT"/>
              </w:rPr>
              <w:t xml:space="preserve">e </w:t>
            </w:r>
            <w:r w:rsidR="00673C19" w:rsidRPr="002A7E9B">
              <w:rPr>
                <w:rFonts w:cs="Arial"/>
                <w:sz w:val="18"/>
                <w:szCs w:val="18"/>
                <w:lang w:val="pt-PT"/>
              </w:rPr>
              <w:t xml:space="preserve">outros </w:t>
            </w:r>
            <w:r w:rsidR="00EC732D" w:rsidRPr="002A7E9B">
              <w:rPr>
                <w:rFonts w:cs="Arial"/>
                <w:sz w:val="18"/>
                <w:szCs w:val="18"/>
                <w:lang w:val="pt-PT"/>
              </w:rPr>
              <w:t xml:space="preserve">equipamentos de produção de energia </w:t>
            </w:r>
            <w:r w:rsidRPr="002A7E9B">
              <w:rPr>
                <w:rFonts w:cs="Arial"/>
                <w:sz w:val="18"/>
                <w:szCs w:val="18"/>
                <w:lang w:val="pt-PT"/>
              </w:rPr>
              <w:t xml:space="preserve">elétrica </w:t>
            </w:r>
            <w:r w:rsidR="00EC732D" w:rsidRPr="002A7E9B">
              <w:rPr>
                <w:rFonts w:cs="Arial"/>
                <w:sz w:val="18"/>
                <w:szCs w:val="18"/>
                <w:lang w:val="pt-PT"/>
              </w:rPr>
              <w:t>a partir de fontes renováveis.</w:t>
            </w:r>
          </w:p>
        </w:tc>
      </w:tr>
      <w:tr w:rsidR="003F7A27" w:rsidRPr="002A7E9B" w:rsidTr="00A342B8">
        <w:trPr>
          <w:trHeight w:val="974"/>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lang w:val="pt-PT"/>
              </w:rPr>
            </w:pPr>
            <w:r w:rsidRPr="002A7E9B">
              <w:rPr>
                <w:rFonts w:cs="Arial"/>
                <w:b/>
                <w:sz w:val="18"/>
                <w:szCs w:val="18"/>
                <w:lang w:val="pt-PT"/>
              </w:rPr>
              <w:t xml:space="preserve">Custos Padrão: </w:t>
            </w:r>
            <w:r w:rsidR="009B6954" w:rsidRPr="002A7E9B">
              <w:rPr>
                <w:rFonts w:cs="Arial"/>
                <w:sz w:val="18"/>
                <w:szCs w:val="18"/>
                <w:lang w:val="pt-PT"/>
              </w:rPr>
              <w:t>Não</w:t>
            </w:r>
            <w:r w:rsidR="00DB74A4" w:rsidRPr="002A7E9B">
              <w:rPr>
                <w:rFonts w:cs="Arial"/>
                <w:sz w:val="18"/>
                <w:szCs w:val="18"/>
                <w:lang w:val="pt-PT"/>
              </w:rPr>
              <w:t>.</w:t>
            </w:r>
          </w:p>
        </w:tc>
      </w:tr>
    </w:tbl>
    <w:p w:rsidR="003F7A27" w:rsidRDefault="003F7A27" w:rsidP="003F7A27">
      <w:pPr>
        <w:spacing w:before="100" w:after="100"/>
        <w:ind w:left="0"/>
        <w:rPr>
          <w:sz w:val="18"/>
        </w:rPr>
      </w:pPr>
    </w:p>
    <w:p w:rsidR="003F7A27" w:rsidRDefault="003F7A27">
      <w:pPr>
        <w:spacing w:after="160" w:line="259" w:lineRule="auto"/>
        <w:ind w:left="0"/>
        <w:rPr>
          <w:sz w:val="18"/>
        </w:rPr>
      </w:pPr>
      <w:r>
        <w:rPr>
          <w:sz w:val="18"/>
        </w:rPr>
        <w:br w:type="page"/>
      </w:r>
    </w:p>
    <w:p w:rsidR="00B35B93" w:rsidRPr="002A7E9B" w:rsidRDefault="00B35B93" w:rsidP="003F7A27">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5349D1">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BA2DEA" w:rsidRPr="002A7E9B" w:rsidRDefault="00BA2DEA"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BA2DEA" w:rsidRPr="002A7E9B" w:rsidRDefault="00BA2DEA"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BA2DEA">
        <w:trPr>
          <w:trHeight w:val="859"/>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BA2DEA" w:rsidRPr="002A7E9B" w:rsidRDefault="00606785" w:rsidP="003F7A27">
            <w:pPr>
              <w:spacing w:before="100" w:after="100"/>
              <w:ind w:left="0"/>
              <w:rPr>
                <w:rFonts w:cs="Arial"/>
                <w:b/>
                <w:sz w:val="18"/>
                <w:szCs w:val="18"/>
                <w:lang w:val="pt-PT"/>
              </w:rPr>
            </w:pPr>
            <w:r>
              <w:rPr>
                <w:rFonts w:cs="Arial"/>
                <w:b/>
                <w:sz w:val="18"/>
                <w:szCs w:val="18"/>
                <w:lang w:val="pt-PT"/>
              </w:rPr>
              <w:t xml:space="preserve">Artigo 36º </w:t>
            </w:r>
            <w:r w:rsidR="00BA2DEA" w:rsidRPr="002A7E9B">
              <w:rPr>
                <w:rFonts w:cs="Arial"/>
                <w:b/>
                <w:sz w:val="18"/>
                <w:szCs w:val="18"/>
                <w:lang w:val="pt-PT"/>
              </w:rPr>
              <w:t>c) Intervenções nos sistemas de iluminação pública, sistemas semafóricos e sistemas de iluminação decorativa, tais como monumentos, jardins, entre outros, com o objetivo de reduzir os consumos de energia, através da instalação de sistemas e tecnologias mais eficientes, assim como pela introdução de sistemas de gestão capazes de potenciar reduções do consumo de energia elétrica associado a estes sistemas.</w:t>
            </w:r>
          </w:p>
        </w:tc>
      </w:tr>
      <w:tr w:rsidR="002A7E9B" w:rsidRPr="002A7E9B" w:rsidTr="00F37EEB">
        <w:trPr>
          <w:trHeight w:val="3523"/>
          <w:jc w:val="center"/>
        </w:trPr>
        <w:tc>
          <w:tcPr>
            <w:tcW w:w="5382" w:type="dxa"/>
            <w:vMerge w:val="restart"/>
            <w:tcBorders>
              <w:top w:val="single" w:sz="12" w:space="0" w:color="auto"/>
              <w:left w:val="single" w:sz="12" w:space="0" w:color="auto"/>
            </w:tcBorders>
            <w:vAlign w:val="center"/>
          </w:tcPr>
          <w:p w:rsidR="00BA2DEA" w:rsidRPr="002A7E9B" w:rsidRDefault="00BA2DEA" w:rsidP="003F7A27">
            <w:pPr>
              <w:spacing w:before="100" w:after="100"/>
              <w:ind w:left="0"/>
              <w:rPr>
                <w:rFonts w:cs="Arial"/>
                <w:b/>
                <w:sz w:val="18"/>
                <w:szCs w:val="18"/>
                <w:lang w:val="pt-PT"/>
              </w:rPr>
            </w:pPr>
            <w:r w:rsidRPr="002A7E9B">
              <w:rPr>
                <w:rFonts w:cs="Arial"/>
                <w:b/>
                <w:sz w:val="18"/>
                <w:szCs w:val="18"/>
                <w:lang w:val="pt-PT"/>
              </w:rPr>
              <w:t>Requisitos:</w:t>
            </w:r>
          </w:p>
          <w:p w:rsidR="00BA2DEA" w:rsidRPr="002A7E9B" w:rsidRDefault="00BA2DEA" w:rsidP="003F7A27">
            <w:pPr>
              <w:spacing w:before="100" w:after="100"/>
              <w:ind w:left="0"/>
              <w:rPr>
                <w:rFonts w:cs="Arial"/>
                <w:sz w:val="18"/>
                <w:szCs w:val="18"/>
                <w:lang w:val="pt-PT"/>
              </w:rPr>
            </w:pPr>
          </w:p>
          <w:p w:rsidR="00BA2DEA" w:rsidRPr="002A7E9B" w:rsidRDefault="00BA2DEA" w:rsidP="003F7A27">
            <w:pPr>
              <w:spacing w:before="100" w:after="100"/>
              <w:ind w:left="0"/>
              <w:rPr>
                <w:rFonts w:cs="Arial"/>
                <w:b/>
                <w:sz w:val="18"/>
                <w:szCs w:val="18"/>
                <w:lang w:val="pt-PT"/>
              </w:rPr>
            </w:pPr>
            <w:r w:rsidRPr="002A7E9B">
              <w:rPr>
                <w:rFonts w:cs="Arial"/>
                <w:b/>
                <w:sz w:val="18"/>
                <w:szCs w:val="18"/>
                <w:lang w:val="pt-PT"/>
              </w:rPr>
              <w:t>Iluminação Pública e decorativa:</w:t>
            </w:r>
          </w:p>
          <w:p w:rsidR="00BA2DEA" w:rsidRPr="002A7E9B" w:rsidRDefault="00BA2DEA" w:rsidP="003F7A27">
            <w:pPr>
              <w:spacing w:before="100" w:after="100"/>
              <w:ind w:left="0"/>
              <w:rPr>
                <w:rFonts w:cs="Arial"/>
                <w:sz w:val="18"/>
                <w:szCs w:val="18"/>
                <w:lang w:val="pt-PT"/>
              </w:rPr>
            </w:pPr>
            <w:r w:rsidRPr="002A7E9B">
              <w:rPr>
                <w:rFonts w:cs="Arial"/>
                <w:sz w:val="18"/>
                <w:szCs w:val="18"/>
                <w:lang w:val="pt-PT"/>
              </w:rPr>
              <w:t xml:space="preserve">Obedecer aos parâmetros de referência estabelecidos pela DGEG; </w:t>
            </w:r>
          </w:p>
          <w:p w:rsidR="00BA2DEA" w:rsidRPr="002A7E9B" w:rsidRDefault="00BA2DEA" w:rsidP="003F7A27">
            <w:pPr>
              <w:spacing w:before="100" w:after="100"/>
              <w:ind w:left="0"/>
              <w:rPr>
                <w:rFonts w:cs="Arial"/>
                <w:sz w:val="18"/>
                <w:szCs w:val="18"/>
                <w:lang w:val="pt-PT"/>
              </w:rPr>
            </w:pPr>
            <w:r w:rsidRPr="002A7E9B">
              <w:rPr>
                <w:rFonts w:cs="Arial"/>
                <w:sz w:val="18"/>
                <w:szCs w:val="18"/>
                <w:lang w:val="pt-PT"/>
              </w:rPr>
              <w:t>Cumprir com os requisitos constantes no documento DMA-C71-111/N relativo aparelhos de iluminação elétrica e acessórios (luminárias de iluminação pública: tecnologia LED) estabelecidos pela EDP Distribuição.</w:t>
            </w:r>
          </w:p>
          <w:p w:rsidR="00BA2DEA" w:rsidRPr="002A7E9B" w:rsidRDefault="00BA2DEA" w:rsidP="003F7A27">
            <w:pPr>
              <w:spacing w:before="100" w:after="100"/>
              <w:ind w:left="0"/>
              <w:rPr>
                <w:rFonts w:cs="Arial"/>
                <w:sz w:val="18"/>
                <w:szCs w:val="18"/>
                <w:lang w:val="pt-PT"/>
              </w:rPr>
            </w:pPr>
          </w:p>
          <w:p w:rsidR="00BA2DEA" w:rsidRPr="002A7E9B" w:rsidRDefault="00BA2DEA" w:rsidP="003F7A27">
            <w:pPr>
              <w:spacing w:before="100" w:after="100"/>
              <w:ind w:left="0"/>
              <w:rPr>
                <w:rFonts w:cs="Arial"/>
                <w:b/>
                <w:sz w:val="18"/>
                <w:szCs w:val="18"/>
                <w:lang w:val="pt-PT"/>
              </w:rPr>
            </w:pPr>
            <w:r w:rsidRPr="002A7E9B">
              <w:rPr>
                <w:rFonts w:cs="Arial"/>
                <w:b/>
                <w:sz w:val="18"/>
                <w:szCs w:val="18"/>
                <w:lang w:val="pt-PT"/>
              </w:rPr>
              <w:t>Semáforos:</w:t>
            </w:r>
          </w:p>
          <w:p w:rsidR="00BA2DEA" w:rsidRPr="002A7E9B" w:rsidRDefault="00BA2DEA" w:rsidP="003F7A27">
            <w:pPr>
              <w:spacing w:before="100" w:after="100"/>
              <w:ind w:left="0"/>
              <w:rPr>
                <w:rFonts w:cs="Arial"/>
                <w:sz w:val="18"/>
                <w:szCs w:val="18"/>
                <w:lang w:val="pt-PT"/>
              </w:rPr>
            </w:pPr>
            <w:r w:rsidRPr="002A7E9B">
              <w:rPr>
                <w:rFonts w:cs="Arial"/>
                <w:sz w:val="18"/>
                <w:szCs w:val="18"/>
                <w:lang w:val="pt-PT"/>
              </w:rPr>
              <w:t>Conformidade com as normas EN 60598-2-1996/EN 50081-1:92/EN 50082-1:92, na sua versão atual;</w:t>
            </w:r>
          </w:p>
          <w:p w:rsidR="00BA2DEA" w:rsidRPr="002A7E9B" w:rsidRDefault="00BA2DEA" w:rsidP="003F7A27">
            <w:pPr>
              <w:spacing w:before="100" w:after="100"/>
              <w:ind w:left="0"/>
              <w:rPr>
                <w:rFonts w:cs="Arial"/>
                <w:sz w:val="18"/>
                <w:szCs w:val="18"/>
                <w:lang w:val="pt-PT"/>
              </w:rPr>
            </w:pPr>
            <w:r w:rsidRPr="002A7E9B">
              <w:rPr>
                <w:rFonts w:cs="Arial"/>
                <w:sz w:val="18"/>
                <w:szCs w:val="18"/>
                <w:lang w:val="pt-PT"/>
              </w:rPr>
              <w:t>Cumprimento das Diretivas Comunitárias de baixa tensão (73/23/EEC) e compatibilidade eletromagnética (89/336/EEC)</w:t>
            </w:r>
            <w:r w:rsidR="005A7912" w:rsidRPr="002A7E9B">
              <w:rPr>
                <w:rFonts w:cs="Arial"/>
                <w:sz w:val="18"/>
                <w:szCs w:val="18"/>
                <w:lang w:val="pt-PT"/>
              </w:rPr>
              <w:t>;</w:t>
            </w:r>
          </w:p>
          <w:p w:rsidR="00F37EEB" w:rsidRPr="002A7E9B" w:rsidRDefault="00BA2DEA" w:rsidP="003F7A27">
            <w:pPr>
              <w:spacing w:before="100" w:after="100"/>
              <w:ind w:left="0"/>
              <w:rPr>
                <w:rFonts w:cs="Arial"/>
                <w:sz w:val="18"/>
                <w:szCs w:val="18"/>
                <w:lang w:val="pt-PT"/>
              </w:rPr>
            </w:pPr>
            <w:r w:rsidRPr="002A7E9B">
              <w:rPr>
                <w:rFonts w:cs="Arial"/>
                <w:sz w:val="18"/>
                <w:szCs w:val="18"/>
                <w:lang w:val="pt-PT"/>
              </w:rPr>
              <w:t>Certificação de acordo com a EN 12368:2006, no que diz respeito a diâmetros de vidros normalizados, intensidade luminosa, distribuição da intensidade luminosa, uniformidade de iluminação, limites máximos para o efeito “fantasma”, cromaticidade, temperatura ambiente e cor.</w:t>
            </w:r>
          </w:p>
        </w:tc>
        <w:tc>
          <w:tcPr>
            <w:tcW w:w="8788" w:type="dxa"/>
            <w:tcBorders>
              <w:top w:val="single" w:sz="12" w:space="0" w:color="auto"/>
              <w:right w:val="single" w:sz="12" w:space="0" w:color="auto"/>
            </w:tcBorders>
            <w:vAlign w:val="center"/>
          </w:tcPr>
          <w:p w:rsidR="00BA2DEA" w:rsidRPr="002A7E9B" w:rsidRDefault="00BA2DEA"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Despesas com a aquisição </w:t>
            </w:r>
            <w:r w:rsidR="005A7912" w:rsidRPr="002A7E9B">
              <w:rPr>
                <w:rFonts w:ascii="Arial" w:hAnsi="Arial" w:cs="Arial"/>
                <w:sz w:val="18"/>
                <w:szCs w:val="18"/>
                <w:lang w:val="pt-PT"/>
              </w:rPr>
              <w:t xml:space="preserve">e substituição </w:t>
            </w:r>
            <w:r w:rsidRPr="002A7E9B">
              <w:rPr>
                <w:rFonts w:ascii="Arial" w:hAnsi="Arial" w:cs="Arial"/>
                <w:sz w:val="18"/>
                <w:szCs w:val="18"/>
                <w:lang w:val="pt-PT"/>
              </w:rPr>
              <w:t>de lâmpadas e luminárias utilizadas na iluminação pública e decorativa, be</w:t>
            </w:r>
            <w:r w:rsidR="00F37EEB" w:rsidRPr="002A7E9B">
              <w:rPr>
                <w:rFonts w:ascii="Arial" w:hAnsi="Arial" w:cs="Arial"/>
                <w:sz w:val="18"/>
                <w:szCs w:val="18"/>
                <w:lang w:val="pt-PT"/>
              </w:rPr>
              <w:t>m como nos sistemas semafóricos;</w:t>
            </w:r>
          </w:p>
          <w:p w:rsidR="00BA2DEA" w:rsidRPr="002A7E9B" w:rsidRDefault="00BA2DEA"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w:t>
            </w:r>
            <w:r w:rsidR="005A7912" w:rsidRPr="002A7E9B">
              <w:rPr>
                <w:rFonts w:ascii="Arial" w:hAnsi="Arial" w:cs="Arial"/>
                <w:sz w:val="18"/>
                <w:szCs w:val="18"/>
                <w:lang w:val="pt-PT"/>
              </w:rPr>
              <w:t xml:space="preserve">e instalação </w:t>
            </w:r>
            <w:r w:rsidRPr="002A7E9B">
              <w:rPr>
                <w:rFonts w:ascii="Arial" w:hAnsi="Arial" w:cs="Arial"/>
                <w:sz w:val="18"/>
                <w:szCs w:val="18"/>
                <w:lang w:val="pt-PT"/>
              </w:rPr>
              <w:t xml:space="preserve">de sistemas de gestão que permitam </w:t>
            </w:r>
            <w:proofErr w:type="gramStart"/>
            <w:r w:rsidRPr="002A7E9B">
              <w:rPr>
                <w:rFonts w:ascii="Arial" w:hAnsi="Arial" w:cs="Arial"/>
                <w:sz w:val="18"/>
                <w:szCs w:val="18"/>
                <w:lang w:val="pt-PT"/>
              </w:rPr>
              <w:t>reduzir</w:t>
            </w:r>
            <w:proofErr w:type="gramEnd"/>
            <w:r w:rsidRPr="002A7E9B">
              <w:rPr>
                <w:rFonts w:ascii="Arial" w:hAnsi="Arial" w:cs="Arial"/>
                <w:sz w:val="18"/>
                <w:szCs w:val="18"/>
                <w:lang w:val="pt-PT"/>
              </w:rPr>
              <w:t xml:space="preserve"> o consumo de energia elétrica associado aos sistemas iluminação pública, decorativa e semafóric</w:t>
            </w:r>
            <w:r w:rsidR="00CF04A0" w:rsidRPr="002A7E9B">
              <w:rPr>
                <w:rFonts w:ascii="Arial" w:hAnsi="Arial" w:cs="Arial"/>
                <w:sz w:val="18"/>
                <w:szCs w:val="18"/>
                <w:lang w:val="pt-PT"/>
              </w:rPr>
              <w:t>a</w:t>
            </w:r>
            <w:r w:rsidR="00F37EEB" w:rsidRPr="002A7E9B">
              <w:rPr>
                <w:rFonts w:ascii="Arial" w:hAnsi="Arial" w:cs="Arial"/>
                <w:sz w:val="18"/>
                <w:szCs w:val="18"/>
                <w:lang w:val="pt-PT"/>
              </w:rPr>
              <w:t>;</w:t>
            </w:r>
          </w:p>
          <w:p w:rsidR="00BA2DEA" w:rsidRPr="002A7E9B" w:rsidRDefault="00BA2DEA"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 realização de auditorias e outros estudos energéticos necessárias à realização dos investimentos e que permitam determinar as economias de energia a alcançar.</w:t>
            </w:r>
          </w:p>
          <w:p w:rsidR="00BA2DEA" w:rsidRPr="002A7E9B" w:rsidRDefault="00BA2DEA" w:rsidP="003F7A27">
            <w:pPr>
              <w:spacing w:before="100" w:after="100"/>
              <w:ind w:left="0"/>
              <w:rPr>
                <w:sz w:val="18"/>
                <w:szCs w:val="18"/>
                <w:lang w:val="pt-PT"/>
              </w:rPr>
            </w:pPr>
          </w:p>
          <w:p w:rsidR="00BA2DEA" w:rsidRPr="002A7E9B" w:rsidRDefault="00BA2DEA" w:rsidP="003F7A27">
            <w:pPr>
              <w:spacing w:before="100" w:after="100"/>
              <w:ind w:left="0"/>
              <w:rPr>
                <w:b/>
                <w:sz w:val="18"/>
                <w:szCs w:val="18"/>
                <w:lang w:val="pt-PT"/>
              </w:rPr>
            </w:pPr>
            <w:r w:rsidRPr="002A7E9B">
              <w:rPr>
                <w:b/>
                <w:sz w:val="18"/>
                <w:szCs w:val="18"/>
                <w:lang w:val="pt-PT"/>
              </w:rPr>
              <w:t>Exemplos de operações não elegíveis (não exaustivo):</w:t>
            </w:r>
          </w:p>
          <w:p w:rsidR="00BA2DEA" w:rsidRPr="002A7E9B" w:rsidRDefault="00F37EEB" w:rsidP="003F7A27">
            <w:pPr>
              <w:pStyle w:val="PargrafodaLista"/>
              <w:numPr>
                <w:ilvl w:val="0"/>
                <w:numId w:val="7"/>
              </w:numPr>
              <w:spacing w:before="100" w:after="100" w:line="240" w:lineRule="auto"/>
              <w:rPr>
                <w:rFonts w:ascii="Arial" w:hAnsi="Arial"/>
                <w:sz w:val="18"/>
                <w:szCs w:val="18"/>
                <w:lang w:val="pt-PT"/>
              </w:rPr>
            </w:pPr>
            <w:r w:rsidRPr="002A7E9B">
              <w:rPr>
                <w:rFonts w:ascii="Arial" w:hAnsi="Arial" w:cs="Arial"/>
                <w:sz w:val="18"/>
                <w:szCs w:val="18"/>
                <w:lang w:val="pt-PT"/>
              </w:rPr>
              <w:t>Redes elétricas associadas às instalações de iluminação pública.</w:t>
            </w:r>
          </w:p>
        </w:tc>
      </w:tr>
      <w:tr w:rsidR="003F7A27" w:rsidRPr="002A7E9B" w:rsidTr="005349D1">
        <w:trPr>
          <w:trHeight w:val="974"/>
          <w:jc w:val="center"/>
        </w:trPr>
        <w:tc>
          <w:tcPr>
            <w:tcW w:w="5382" w:type="dxa"/>
            <w:vMerge/>
            <w:tcBorders>
              <w:left w:val="single" w:sz="12" w:space="0" w:color="auto"/>
              <w:bottom w:val="single" w:sz="12" w:space="0" w:color="auto"/>
            </w:tcBorders>
            <w:vAlign w:val="center"/>
          </w:tcPr>
          <w:p w:rsidR="00BA2DEA" w:rsidRPr="002A7E9B" w:rsidRDefault="00BA2DEA"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BA2DEA" w:rsidRPr="002A7E9B" w:rsidRDefault="00F37EEB" w:rsidP="003F7A27">
            <w:pPr>
              <w:spacing w:before="100" w:after="100"/>
              <w:ind w:left="0"/>
              <w:rPr>
                <w:rFonts w:cs="Arial"/>
                <w:sz w:val="18"/>
                <w:szCs w:val="18"/>
                <w:lang w:val="pt-PT"/>
              </w:rPr>
            </w:pPr>
            <w:r w:rsidRPr="002A7E9B">
              <w:rPr>
                <w:b/>
                <w:sz w:val="18"/>
                <w:szCs w:val="18"/>
                <w:lang w:val="pt-PT"/>
              </w:rPr>
              <w:t>Custos Padrão</w:t>
            </w:r>
            <w:r w:rsidR="00A15E3C" w:rsidRPr="002A7E9B">
              <w:rPr>
                <w:b/>
                <w:sz w:val="18"/>
                <w:szCs w:val="18"/>
                <w:lang w:val="pt-PT"/>
              </w:rPr>
              <w:t>:</w:t>
            </w:r>
            <w:r w:rsidR="00DB74A4" w:rsidRPr="002A7E9B">
              <w:rPr>
                <w:sz w:val="18"/>
                <w:szCs w:val="18"/>
                <w:lang w:val="pt-PT"/>
              </w:rPr>
              <w:t xml:space="preserve"> </w:t>
            </w:r>
            <w:r w:rsidRPr="002A7E9B">
              <w:rPr>
                <w:sz w:val="18"/>
                <w:szCs w:val="18"/>
                <w:lang w:val="pt-PT"/>
              </w:rPr>
              <w:t>Não</w:t>
            </w:r>
            <w:r w:rsidR="00DB74A4" w:rsidRPr="002A7E9B">
              <w:rPr>
                <w:sz w:val="18"/>
                <w:szCs w:val="18"/>
                <w:lang w:val="pt-PT"/>
              </w:rPr>
              <w:t>.</w:t>
            </w:r>
          </w:p>
        </w:tc>
      </w:tr>
    </w:tbl>
    <w:p w:rsidR="00BA2DEA" w:rsidRPr="002A7E9B" w:rsidRDefault="00BA2DEA" w:rsidP="0066593B">
      <w:pPr>
        <w:spacing w:before="100" w:after="100"/>
        <w:ind w:left="0"/>
        <w:rPr>
          <w:sz w:val="18"/>
        </w:rPr>
      </w:pPr>
    </w:p>
    <w:p w:rsidR="003F7A27" w:rsidRDefault="003F7A27">
      <w:pPr>
        <w:spacing w:after="160" w:line="259" w:lineRule="auto"/>
        <w:ind w:left="0"/>
        <w:rPr>
          <w:sz w:val="18"/>
        </w:rPr>
      </w:pPr>
      <w:r>
        <w:rPr>
          <w:sz w:val="18"/>
        </w:rPr>
        <w:br w:type="page"/>
      </w:r>
    </w:p>
    <w:p w:rsidR="004E072F" w:rsidRPr="002A7E9B" w:rsidRDefault="004E072F" w:rsidP="0066593B">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A337BD">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F37EEB">
        <w:trPr>
          <w:trHeight w:val="718"/>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606785" w:rsidP="003F7A27">
            <w:pPr>
              <w:spacing w:before="100" w:after="100"/>
              <w:ind w:left="0"/>
              <w:rPr>
                <w:rFonts w:cs="Arial"/>
                <w:b/>
                <w:sz w:val="18"/>
                <w:szCs w:val="18"/>
                <w:lang w:val="pt-PT"/>
              </w:rPr>
            </w:pPr>
            <w:r>
              <w:rPr>
                <w:rFonts w:cs="Arial"/>
                <w:b/>
                <w:sz w:val="18"/>
                <w:szCs w:val="18"/>
                <w:lang w:val="pt-PT"/>
              </w:rPr>
              <w:t xml:space="preserve">Artigo 36º </w:t>
            </w:r>
            <w:r w:rsidR="00723212" w:rsidRPr="002A7E9B">
              <w:rPr>
                <w:rFonts w:cs="Arial"/>
                <w:b/>
                <w:sz w:val="18"/>
                <w:szCs w:val="18"/>
                <w:lang w:val="pt-PT"/>
              </w:rPr>
              <w:t>d</w:t>
            </w:r>
            <w:r w:rsidR="00F37EEB" w:rsidRPr="002A7E9B">
              <w:rPr>
                <w:rFonts w:cs="Arial"/>
                <w:b/>
                <w:sz w:val="18"/>
                <w:szCs w:val="18"/>
                <w:lang w:val="pt-PT"/>
              </w:rPr>
              <w:t xml:space="preserve">) Auditorias, </w:t>
            </w:r>
            <w:r w:rsidR="00EC732D" w:rsidRPr="002A7E9B">
              <w:rPr>
                <w:rFonts w:cs="Arial"/>
                <w:b/>
                <w:sz w:val="18"/>
                <w:szCs w:val="18"/>
                <w:lang w:val="pt-PT"/>
              </w:rPr>
              <w:t xml:space="preserve">diagnósticos </w:t>
            </w:r>
            <w:r w:rsidR="00DB74A4" w:rsidRPr="002A7E9B">
              <w:rPr>
                <w:rFonts w:cs="Arial"/>
                <w:b/>
                <w:sz w:val="18"/>
                <w:szCs w:val="18"/>
                <w:lang w:val="pt-PT"/>
              </w:rPr>
              <w:t xml:space="preserve">e outros trabalhos </w:t>
            </w:r>
            <w:r w:rsidR="00EC732D" w:rsidRPr="002A7E9B">
              <w:rPr>
                <w:rFonts w:cs="Arial"/>
                <w:b/>
                <w:sz w:val="18"/>
                <w:szCs w:val="18"/>
                <w:lang w:val="pt-PT"/>
              </w:rPr>
              <w:t xml:space="preserve">necessários à realização </w:t>
            </w:r>
            <w:r w:rsidR="005813E1" w:rsidRPr="002A7E9B">
              <w:rPr>
                <w:rFonts w:cs="Arial"/>
                <w:b/>
                <w:sz w:val="18"/>
                <w:szCs w:val="18"/>
                <w:lang w:val="pt-PT"/>
              </w:rPr>
              <w:t xml:space="preserve">de </w:t>
            </w:r>
            <w:r w:rsidR="00EC732D" w:rsidRPr="002A7E9B">
              <w:rPr>
                <w:rFonts w:cs="Arial"/>
                <w:b/>
                <w:sz w:val="18"/>
                <w:szCs w:val="18"/>
                <w:lang w:val="pt-PT"/>
              </w:rPr>
              <w:t xml:space="preserve">investimentos, bem como a avaliação </w:t>
            </w:r>
            <w:proofErr w:type="spellStart"/>
            <w:r w:rsidR="00EC732D" w:rsidRPr="002A7E9B">
              <w:rPr>
                <w:rFonts w:cs="Arial"/>
                <w:b/>
                <w:i/>
                <w:sz w:val="18"/>
                <w:szCs w:val="18"/>
                <w:lang w:val="pt-PT"/>
              </w:rPr>
              <w:t>ex-post</w:t>
            </w:r>
            <w:proofErr w:type="spellEnd"/>
            <w:r w:rsidR="00EC732D" w:rsidRPr="002A7E9B">
              <w:rPr>
                <w:rFonts w:cs="Arial"/>
                <w:b/>
                <w:sz w:val="18"/>
                <w:szCs w:val="18"/>
                <w:lang w:val="pt-PT"/>
              </w:rPr>
              <w:t xml:space="preserve"> independente que permita a avaliação e o acompanhamento do desempenho e da eficiência energética do investimento</w:t>
            </w:r>
          </w:p>
        </w:tc>
      </w:tr>
      <w:tr w:rsidR="002A7E9B" w:rsidRPr="002A7E9B" w:rsidTr="00A05769">
        <w:trPr>
          <w:trHeight w:val="20"/>
          <w:jc w:val="center"/>
        </w:trPr>
        <w:tc>
          <w:tcPr>
            <w:tcW w:w="5382" w:type="dxa"/>
            <w:vMerge w:val="restart"/>
            <w:tcBorders>
              <w:top w:val="single" w:sz="12" w:space="0" w:color="auto"/>
              <w:left w:val="single" w:sz="12" w:space="0" w:color="auto"/>
            </w:tcBorders>
            <w:vAlign w:val="center"/>
          </w:tcPr>
          <w:p w:rsidR="00A15E3C" w:rsidRPr="002A7E9B" w:rsidRDefault="00A15E3C" w:rsidP="003F7A27">
            <w:pPr>
              <w:spacing w:before="100" w:after="100"/>
              <w:ind w:left="0"/>
              <w:rPr>
                <w:rFonts w:cs="Arial"/>
                <w:sz w:val="18"/>
                <w:szCs w:val="18"/>
                <w:lang w:val="pt-PT"/>
              </w:rPr>
            </w:pPr>
            <w:r w:rsidRPr="002A7E9B">
              <w:rPr>
                <w:rFonts w:cs="Arial"/>
                <w:sz w:val="18"/>
                <w:szCs w:val="18"/>
                <w:lang w:val="pt-PT"/>
              </w:rPr>
              <w:t>Elaboração e emissão de certificado energético no âmbito do SCE, devidamente acompanhado do Relatório de Auditoria Energética, que caracterize o cenário de base e detalhe as medidas de eficiência energética que serão tidas em conta no âmbito da candidatura.</w:t>
            </w:r>
          </w:p>
          <w:p w:rsidR="00A15E3C" w:rsidRPr="002A7E9B" w:rsidRDefault="00A15E3C" w:rsidP="003F7A27">
            <w:pPr>
              <w:spacing w:before="100" w:after="100"/>
              <w:ind w:left="0"/>
              <w:rPr>
                <w:rFonts w:cs="Arial"/>
                <w:sz w:val="18"/>
                <w:szCs w:val="18"/>
                <w:lang w:val="pt-PT"/>
              </w:rPr>
            </w:pPr>
          </w:p>
          <w:p w:rsidR="00A15E3C" w:rsidRPr="002A7E9B" w:rsidRDefault="00A15E3C" w:rsidP="003F7A27">
            <w:pPr>
              <w:spacing w:before="100" w:after="100"/>
              <w:ind w:left="0"/>
              <w:rPr>
                <w:rFonts w:cs="Arial"/>
                <w:b/>
                <w:sz w:val="18"/>
                <w:szCs w:val="18"/>
                <w:lang w:val="pt-PT"/>
              </w:rPr>
            </w:pPr>
            <w:r w:rsidRPr="002A7E9B">
              <w:rPr>
                <w:rFonts w:cs="Arial"/>
                <w:b/>
                <w:sz w:val="18"/>
                <w:szCs w:val="18"/>
                <w:lang w:val="pt-PT"/>
              </w:rPr>
              <w:t>Requisitos:</w:t>
            </w:r>
          </w:p>
          <w:p w:rsidR="00A15E3C" w:rsidRPr="002A7E9B" w:rsidRDefault="00A15E3C" w:rsidP="003F7A27">
            <w:pPr>
              <w:spacing w:before="100" w:after="100"/>
              <w:ind w:left="0"/>
              <w:rPr>
                <w:rFonts w:cs="Arial"/>
                <w:sz w:val="18"/>
                <w:szCs w:val="18"/>
                <w:lang w:val="pt-PT"/>
              </w:rPr>
            </w:pPr>
            <w:r w:rsidRPr="002A7E9B">
              <w:rPr>
                <w:rFonts w:cs="Arial"/>
                <w:sz w:val="18"/>
                <w:szCs w:val="18"/>
                <w:lang w:val="pt-PT"/>
              </w:rPr>
              <w:t>No âmbito do Sistema de Certificação de Edifícios, Decreto-Lei n.º 118/2013, de 20 de agosto, na sua atual redação.</w:t>
            </w:r>
          </w:p>
        </w:tc>
        <w:tc>
          <w:tcPr>
            <w:tcW w:w="8788" w:type="dxa"/>
            <w:tcBorders>
              <w:top w:val="single" w:sz="12" w:space="0" w:color="auto"/>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ex-ante</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atualização do certificado energético</w:t>
            </w:r>
            <w:r w:rsidR="00B63B2D" w:rsidRPr="002A7E9B">
              <w:rPr>
                <w:rFonts w:ascii="Arial" w:hAnsi="Arial" w:cs="Arial"/>
                <w:sz w:val="18"/>
                <w:szCs w:val="18"/>
                <w:lang w:val="pt-PT"/>
              </w:rPr>
              <w:t>;</w:t>
            </w:r>
            <w:r w:rsidRPr="002A7E9B">
              <w:rPr>
                <w:rFonts w:ascii="Arial" w:hAnsi="Arial" w:cs="Arial"/>
                <w:sz w:val="18"/>
                <w:szCs w:val="18"/>
                <w:lang w:val="pt-PT"/>
              </w:rPr>
              <w:t xml:space="preserve"> </w:t>
            </w:r>
          </w:p>
          <w:p w:rsidR="00A15E3C" w:rsidRPr="002A7E9B" w:rsidRDefault="00A15E3C" w:rsidP="003F7A27">
            <w:pPr>
              <w:pStyle w:val="PargrafodaLista"/>
              <w:numPr>
                <w:ilvl w:val="0"/>
                <w:numId w:val="7"/>
              </w:numPr>
              <w:spacing w:before="100" w:after="100" w:line="240" w:lineRule="auto"/>
              <w:ind w:left="714" w:hanging="357"/>
              <w:rPr>
                <w:rFonts w:ascii="Arial" w:hAnsi="Arial" w:cs="Arial"/>
                <w:b/>
                <w:sz w:val="18"/>
                <w:szCs w:val="18"/>
                <w:lang w:val="pt-PT" w:eastAsia="pt-PT"/>
              </w:rPr>
            </w:pPr>
            <w:r w:rsidRPr="002A7E9B">
              <w:rPr>
                <w:rFonts w:ascii="Arial" w:hAnsi="Arial" w:cs="Arial"/>
                <w:sz w:val="18"/>
                <w:szCs w:val="18"/>
                <w:lang w:val="pt-PT"/>
              </w:rPr>
              <w:t>Despesas com o processo de certificação energética nos casos em que não constitua uma obrigatoriedade legal para os edifícios a intervencionar;</w:t>
            </w:r>
          </w:p>
          <w:p w:rsidR="00A15E3C" w:rsidRPr="002A7E9B" w:rsidRDefault="00A15E3C"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Mantendo obrigatoriamente o cumprimento de um dos pontos anteriores</w:t>
            </w:r>
            <w:proofErr w:type="gramStart"/>
            <w:r w:rsidRPr="002A7E9B">
              <w:rPr>
                <w:rFonts w:ascii="Arial" w:hAnsi="Arial" w:cs="Arial"/>
                <w:sz w:val="18"/>
                <w:szCs w:val="18"/>
                <w:lang w:val="pt-PT"/>
              </w:rPr>
              <w:t>,</w:t>
            </w:r>
            <w:proofErr w:type="gramEnd"/>
            <w:r w:rsidRPr="002A7E9B">
              <w:rPr>
                <w:rFonts w:ascii="Arial" w:hAnsi="Arial" w:cs="Arial"/>
                <w:sz w:val="18"/>
                <w:szCs w:val="18"/>
                <w:lang w:val="pt-PT"/>
              </w:rPr>
              <w:t xml:space="preserve"> poder</w:t>
            </w:r>
            <w:r w:rsidR="00B63B2D" w:rsidRPr="002A7E9B">
              <w:rPr>
                <w:rFonts w:ascii="Arial" w:hAnsi="Arial" w:cs="Arial"/>
                <w:sz w:val="18"/>
                <w:szCs w:val="18"/>
                <w:lang w:val="pt-PT"/>
              </w:rPr>
              <w:t xml:space="preserve">á </w:t>
            </w:r>
            <w:r w:rsidRPr="002A7E9B">
              <w:rPr>
                <w:rFonts w:ascii="Arial" w:hAnsi="Arial" w:cs="Arial"/>
                <w:sz w:val="18"/>
                <w:szCs w:val="18"/>
                <w:lang w:val="pt-PT"/>
              </w:rPr>
              <w:t>ser adicion</w:t>
            </w:r>
            <w:r w:rsidR="00B63B2D" w:rsidRPr="002A7E9B">
              <w:rPr>
                <w:rFonts w:ascii="Arial" w:hAnsi="Arial" w:cs="Arial"/>
                <w:sz w:val="18"/>
                <w:szCs w:val="18"/>
                <w:lang w:val="pt-PT"/>
              </w:rPr>
              <w:t>almente apresentada a despesa</w:t>
            </w:r>
            <w:r w:rsidRPr="002A7E9B">
              <w:rPr>
                <w:rFonts w:ascii="Arial" w:hAnsi="Arial" w:cs="Arial"/>
                <w:sz w:val="18"/>
                <w:szCs w:val="18"/>
                <w:lang w:val="pt-PT"/>
              </w:rPr>
              <w:t xml:space="preserve"> com a taxa de registo, relativa à emissão do certificado energético, definida na Portaria n.º 349-A/2013, de 29 de</w:t>
            </w:r>
            <w:r w:rsidR="003710EB" w:rsidRPr="002A7E9B">
              <w:rPr>
                <w:rFonts w:ascii="Arial" w:hAnsi="Arial" w:cs="Arial"/>
                <w:sz w:val="18"/>
                <w:szCs w:val="18"/>
                <w:lang w:val="pt-PT"/>
              </w:rPr>
              <w:t xml:space="preserve"> novembro, na sua atual redação;</w:t>
            </w:r>
          </w:p>
          <w:p w:rsidR="003710EB" w:rsidRPr="002A7E9B" w:rsidRDefault="003710EB"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Estudos luminotécnicos.</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right w:val="single" w:sz="12" w:space="0" w:color="auto"/>
            </w:tcBorders>
            <w:vAlign w:val="center"/>
          </w:tcPr>
          <w:p w:rsidR="00A15E3C" w:rsidRPr="002A7E9B" w:rsidRDefault="00A15E3C" w:rsidP="003F7A27">
            <w:pPr>
              <w:spacing w:before="100" w:after="100"/>
              <w:ind w:left="0"/>
              <w:rPr>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o processo de certificação energética em que tal constitua uma obrigatoriedade legal para os edifícios a intervencionar.</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rPr>
                <w:rFonts w:cs="Arial"/>
                <w:sz w:val="18"/>
                <w:szCs w:val="18"/>
                <w:lang w:val="pt-PT"/>
              </w:rPr>
            </w:pPr>
          </w:p>
        </w:tc>
        <w:tc>
          <w:tcPr>
            <w:tcW w:w="8788" w:type="dxa"/>
            <w:tcBorders>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ex-post</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emissão do certificado energético para a situação após a conclusão da operação;</w:t>
            </w:r>
          </w:p>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w:t>
            </w:r>
            <w:r w:rsidR="00B63B2D" w:rsidRPr="002A7E9B">
              <w:rPr>
                <w:rFonts w:ascii="Arial" w:hAnsi="Arial" w:cs="Arial"/>
                <w:sz w:val="18"/>
                <w:szCs w:val="18"/>
                <w:lang w:val="pt-PT"/>
              </w:rPr>
              <w:t>espesa</w:t>
            </w:r>
            <w:r w:rsidRPr="002A7E9B">
              <w:rPr>
                <w:rFonts w:ascii="Arial" w:hAnsi="Arial" w:cs="Arial"/>
                <w:sz w:val="18"/>
                <w:szCs w:val="18"/>
                <w:lang w:val="pt-PT"/>
              </w:rPr>
              <w:t xml:space="preserve"> com a taxa de registo, relativa à emissão do certificado energético, definida na Portaria n.º 349-A/2013, de 29 de novembro, na sua atual redação.</w:t>
            </w:r>
          </w:p>
        </w:tc>
      </w:tr>
      <w:tr w:rsidR="002A7E9B" w:rsidRPr="002A7E9B" w:rsidTr="00A15E3C">
        <w:trPr>
          <w:trHeight w:val="591"/>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bottom w:val="single" w:sz="4" w:space="0" w:color="auto"/>
              <w:right w:val="single" w:sz="12" w:space="0" w:color="auto"/>
            </w:tcBorders>
            <w:vAlign w:val="center"/>
          </w:tcPr>
          <w:p w:rsidR="00A15E3C" w:rsidRPr="002A7E9B" w:rsidRDefault="00A15E3C" w:rsidP="003F7A27">
            <w:pPr>
              <w:spacing w:before="100" w:after="100"/>
              <w:ind w:left="0"/>
              <w:rPr>
                <w:b/>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sz w:val="18"/>
                <w:szCs w:val="18"/>
                <w:lang w:val="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a atualização do certificado energético em que tal constitua uma obrigatoriedade legal para os edifícios a intervencionar (grande intervenção).</w:t>
            </w:r>
          </w:p>
        </w:tc>
      </w:tr>
      <w:tr w:rsidR="002A7E9B" w:rsidRPr="002A7E9B" w:rsidTr="00A15E3C">
        <w:trPr>
          <w:trHeight w:val="1132"/>
          <w:jc w:val="center"/>
        </w:trPr>
        <w:tc>
          <w:tcPr>
            <w:tcW w:w="5382" w:type="dxa"/>
            <w:vMerge/>
            <w:tcBorders>
              <w:left w:val="single" w:sz="12" w:space="0" w:color="auto"/>
              <w:bottom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single" w:sz="4" w:space="0" w:color="auto"/>
              <w:bottom w:val="single" w:sz="12" w:space="0" w:color="auto"/>
              <w:right w:val="single" w:sz="12" w:space="0" w:color="auto"/>
            </w:tcBorders>
            <w:vAlign w:val="center"/>
          </w:tcPr>
          <w:p w:rsidR="00A15E3C" w:rsidRPr="002A7E9B" w:rsidRDefault="00A15E3C" w:rsidP="003F7A27">
            <w:pPr>
              <w:spacing w:before="100" w:after="100"/>
              <w:ind w:left="0"/>
              <w:rPr>
                <w:b/>
                <w:sz w:val="18"/>
                <w:szCs w:val="18"/>
              </w:rPr>
            </w:pPr>
            <w:r w:rsidRPr="002A7E9B">
              <w:rPr>
                <w:b/>
                <w:sz w:val="18"/>
                <w:szCs w:val="18"/>
                <w:lang w:val="pt-PT"/>
              </w:rPr>
              <w:t>Custos Padrão:</w:t>
            </w:r>
            <w:r w:rsidR="00CB69BB" w:rsidRPr="002A7E9B" w:rsidDel="00CB69BB">
              <w:rPr>
                <w:b/>
                <w:sz w:val="18"/>
                <w:szCs w:val="18"/>
                <w:lang w:val="pt-PT"/>
              </w:rPr>
              <w:t xml:space="preserve"> </w:t>
            </w:r>
            <w:r w:rsidRPr="002A7E9B">
              <w:rPr>
                <w:sz w:val="18"/>
                <w:szCs w:val="18"/>
                <w:lang w:val="pt-PT"/>
              </w:rPr>
              <w:t>Auditorias energéticas</w:t>
            </w:r>
            <w:r w:rsidR="00CB69BB" w:rsidRPr="002A7E9B">
              <w:rPr>
                <w:sz w:val="18"/>
                <w:szCs w:val="18"/>
                <w:lang w:val="pt-PT"/>
              </w:rPr>
              <w:t>.</w:t>
            </w:r>
          </w:p>
        </w:tc>
      </w:tr>
    </w:tbl>
    <w:p w:rsidR="002A7E9B" w:rsidRPr="002A7E9B" w:rsidRDefault="002A7E9B" w:rsidP="003F7A27">
      <w:pPr>
        <w:tabs>
          <w:tab w:val="left" w:pos="-2268"/>
        </w:tabs>
        <w:spacing w:before="100" w:after="100"/>
        <w:ind w:left="0"/>
        <w:jc w:val="both"/>
        <w:outlineLvl w:val="0"/>
        <w:rPr>
          <w:rFonts w:cs="Arial"/>
          <w:sz w:val="18"/>
          <w:szCs w:val="24"/>
        </w:rPr>
      </w:pPr>
    </w:p>
    <w:p w:rsidR="002A7E9B" w:rsidRPr="002A7E9B" w:rsidRDefault="002A7E9B" w:rsidP="003F7A27">
      <w:pPr>
        <w:spacing w:before="100" w:after="100"/>
        <w:ind w:left="0"/>
        <w:jc w:val="both"/>
        <w:rPr>
          <w:rFonts w:cs="Arial"/>
          <w:sz w:val="18"/>
          <w:szCs w:val="24"/>
        </w:rPr>
      </w:pPr>
      <w:r w:rsidRPr="002A7E9B">
        <w:rPr>
          <w:rFonts w:cs="Arial"/>
          <w:sz w:val="18"/>
          <w:szCs w:val="24"/>
        </w:rPr>
        <w:br w:type="page"/>
      </w:r>
    </w:p>
    <w:p w:rsidR="0050142D" w:rsidRPr="003F7A27" w:rsidRDefault="00260115" w:rsidP="003F7A27">
      <w:pPr>
        <w:tabs>
          <w:tab w:val="left" w:pos="-2268"/>
        </w:tabs>
        <w:spacing w:before="100" w:after="100"/>
        <w:ind w:left="0"/>
        <w:jc w:val="center"/>
        <w:outlineLvl w:val="0"/>
        <w:rPr>
          <w:rFonts w:cs="Arial"/>
          <w:b/>
          <w:sz w:val="22"/>
          <w:szCs w:val="22"/>
        </w:rPr>
      </w:pPr>
      <w:r w:rsidRPr="003F7A27">
        <w:rPr>
          <w:rFonts w:cs="Arial"/>
          <w:b/>
          <w:sz w:val="22"/>
          <w:szCs w:val="22"/>
        </w:rPr>
        <w:lastRenderedPageBreak/>
        <w:t>Anexo II</w:t>
      </w:r>
    </w:p>
    <w:p w:rsidR="00505BC6" w:rsidRPr="003F7A27" w:rsidRDefault="00505BC6" w:rsidP="003F7A27">
      <w:pPr>
        <w:tabs>
          <w:tab w:val="left" w:pos="-2268"/>
        </w:tabs>
        <w:spacing w:before="100" w:after="100"/>
        <w:ind w:left="0"/>
        <w:jc w:val="center"/>
        <w:outlineLvl w:val="0"/>
        <w:rPr>
          <w:rFonts w:cs="Arial"/>
          <w:u w:val="single"/>
        </w:rPr>
      </w:pPr>
      <w:r w:rsidRPr="003F7A27">
        <w:rPr>
          <w:rFonts w:cs="Arial"/>
          <w:bCs/>
          <w:u w:val="single"/>
        </w:rPr>
        <w:t>Custos-padrão máximos definidos pela DGEG</w:t>
      </w:r>
    </w:p>
    <w:p w:rsidR="00A05769" w:rsidRPr="003F7A27" w:rsidRDefault="00A05769" w:rsidP="003F7A27">
      <w:pPr>
        <w:spacing w:before="100" w:after="100"/>
        <w:ind w:left="0"/>
        <w:jc w:val="center"/>
        <w:rPr>
          <w:rFonts w:cs="Arial"/>
          <w:b/>
          <w:spacing w:val="0"/>
          <w:lang w:eastAsia="pt-PT"/>
        </w:rPr>
      </w:pPr>
    </w:p>
    <w:p w:rsidR="002F3713" w:rsidRPr="003F7A27" w:rsidRDefault="002F3713" w:rsidP="003F7A27">
      <w:pPr>
        <w:spacing w:before="100" w:after="100"/>
        <w:ind w:left="0"/>
        <w:jc w:val="center"/>
        <w:rPr>
          <w:rFonts w:cs="Arial"/>
          <w:b/>
          <w:spacing w:val="0"/>
          <w:lang w:eastAsia="pt-PT"/>
        </w:rPr>
      </w:pPr>
      <w:r w:rsidRPr="003F7A27">
        <w:rPr>
          <w:rFonts w:cs="Arial"/>
          <w:b/>
          <w:spacing w:val="0"/>
          <w:lang w:eastAsia="pt-PT"/>
        </w:rPr>
        <w:t xml:space="preserve">Os custos unitários máximos apresentados neste Anexo são </w:t>
      </w:r>
      <w:r w:rsidRPr="003F7A27">
        <w:rPr>
          <w:rFonts w:cs="Arial"/>
          <w:b/>
          <w:spacing w:val="0"/>
          <w:u w:val="single"/>
          <w:lang w:eastAsia="pt-PT"/>
        </w:rPr>
        <w:t>sem IVA</w:t>
      </w:r>
    </w:p>
    <w:p w:rsidR="002F3713" w:rsidRPr="003F7A27" w:rsidRDefault="002F3713" w:rsidP="003F7A27">
      <w:pPr>
        <w:spacing w:before="100" w:after="100"/>
        <w:ind w:left="0"/>
        <w:jc w:val="center"/>
        <w:rPr>
          <w:rFonts w:cs="Arial"/>
          <w:b/>
          <w:spacing w:val="0"/>
          <w:lang w:eastAsia="pt-PT"/>
        </w:rPr>
      </w:pPr>
    </w:p>
    <w:p w:rsidR="00505BC6" w:rsidRPr="003F7A27" w:rsidRDefault="003F7A27" w:rsidP="003F7A27">
      <w:pPr>
        <w:spacing w:before="100" w:after="100"/>
        <w:ind w:left="0"/>
        <w:jc w:val="center"/>
        <w:rPr>
          <w:rFonts w:cs="Arial"/>
          <w:b/>
          <w:spacing w:val="0"/>
          <w:lang w:eastAsia="pt-PT"/>
        </w:rPr>
      </w:pPr>
      <w:r>
        <w:rPr>
          <w:rFonts w:cs="Arial"/>
          <w:b/>
          <w:spacing w:val="0"/>
          <w:lang w:eastAsia="pt-PT"/>
        </w:rPr>
        <w:t>CUSTO-PADRÃO</w:t>
      </w:r>
    </w:p>
    <w:p w:rsidR="00505BC6" w:rsidRPr="003F7A27" w:rsidRDefault="00505BC6" w:rsidP="003F7A27">
      <w:pPr>
        <w:spacing w:before="100" w:after="100"/>
        <w:ind w:left="0"/>
        <w:jc w:val="center"/>
        <w:rPr>
          <w:rFonts w:cs="Arial"/>
          <w:spacing w:val="0"/>
          <w:lang w:eastAsia="pt-PT"/>
        </w:rPr>
      </w:pPr>
      <w:r w:rsidRPr="003F7A27">
        <w:rPr>
          <w:rFonts w:cs="Arial"/>
          <w:spacing w:val="0"/>
          <w:lang w:eastAsia="pt-PT"/>
        </w:rPr>
        <w:t>(para efeitos de análise de candidaturas ao Portugal 2020)</w:t>
      </w:r>
    </w:p>
    <w:tbl>
      <w:tblPr>
        <w:tblStyle w:val="Tabelacomgrelha"/>
        <w:tblW w:w="14992" w:type="dxa"/>
        <w:tblLook w:val="04A0" w:firstRow="1" w:lastRow="0" w:firstColumn="1" w:lastColumn="0" w:noHBand="0" w:noVBand="1"/>
      </w:tblPr>
      <w:tblGrid>
        <w:gridCol w:w="1951"/>
        <w:gridCol w:w="6946"/>
        <w:gridCol w:w="2693"/>
        <w:gridCol w:w="2268"/>
        <w:gridCol w:w="1134"/>
      </w:tblGrid>
      <w:tr w:rsidR="002A7E9B" w:rsidRPr="002A7E9B" w:rsidTr="00F65DE8">
        <w:trPr>
          <w:trHeight w:val="539"/>
        </w:trPr>
        <w:tc>
          <w:tcPr>
            <w:tcW w:w="1951"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Tipo de intervenção</w:t>
            </w:r>
          </w:p>
        </w:tc>
        <w:tc>
          <w:tcPr>
            <w:tcW w:w="6946"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Descrição da solução técnica</w:t>
            </w:r>
          </w:p>
        </w:tc>
        <w:tc>
          <w:tcPr>
            <w:tcW w:w="2693"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Caraterística dos elementos</w:t>
            </w:r>
          </w:p>
        </w:tc>
        <w:tc>
          <w:tcPr>
            <w:tcW w:w="2268"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Custo unitário máximo</w:t>
            </w:r>
          </w:p>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w:t>
            </w:r>
            <w:proofErr w:type="gramStart"/>
            <w:r w:rsidRPr="002A7E9B">
              <w:rPr>
                <w:rFonts w:eastAsia="Calibri" w:cs="Arial"/>
                <w:b/>
                <w:spacing w:val="0"/>
                <w:sz w:val="18"/>
                <w:szCs w:val="18"/>
              </w:rPr>
              <w:t>m2)</w:t>
            </w:r>
            <w:r w:rsidR="00447B21" w:rsidRPr="002A7E9B">
              <w:rPr>
                <w:rFonts w:eastAsia="Calibri" w:cs="Arial"/>
                <w:b/>
                <w:spacing w:val="0"/>
                <w:sz w:val="18"/>
                <w:szCs w:val="18"/>
                <w:vertAlign w:val="superscript"/>
              </w:rPr>
              <w:t>a</w:t>
            </w:r>
            <w:proofErr w:type="gramEnd"/>
            <w:r w:rsidR="00447B21" w:rsidRPr="002A7E9B">
              <w:rPr>
                <w:rFonts w:eastAsia="Calibri" w:cs="Arial"/>
                <w:b/>
                <w:spacing w:val="0"/>
                <w:sz w:val="18"/>
                <w:szCs w:val="18"/>
                <w:vertAlign w:val="superscript"/>
              </w:rPr>
              <w:t>)</w:t>
            </w:r>
          </w:p>
        </w:tc>
        <w:tc>
          <w:tcPr>
            <w:tcW w:w="1134" w:type="dxa"/>
            <w:shd w:val="clear" w:color="auto" w:fill="D9E2F3" w:themeFill="accent5" w:themeFillTint="33"/>
            <w:vAlign w:val="center"/>
          </w:tcPr>
          <w:p w:rsidR="002F3713" w:rsidRPr="002A7E9B" w:rsidRDefault="002F3713" w:rsidP="003F7A27">
            <w:pPr>
              <w:spacing w:before="100" w:after="100"/>
              <w:ind w:left="0"/>
              <w:jc w:val="center"/>
              <w:rPr>
                <w:rFonts w:eastAsia="Calibri" w:cs="Arial"/>
                <w:b/>
                <w:spacing w:val="0"/>
                <w:sz w:val="18"/>
                <w:szCs w:val="18"/>
              </w:rPr>
            </w:pPr>
            <w:r w:rsidRPr="002A7E9B">
              <w:rPr>
                <w:rFonts w:eastAsia="Calibri" w:cs="Arial"/>
                <w:b/>
                <w:spacing w:val="0"/>
                <w:sz w:val="18"/>
                <w:szCs w:val="18"/>
              </w:rPr>
              <w:t>Vida útil (anos)</w:t>
            </w:r>
          </w:p>
        </w:tc>
      </w:tr>
      <w:tr w:rsidR="002A7E9B" w:rsidRPr="002A7E9B" w:rsidTr="00F65DE8">
        <w:trPr>
          <w:trHeight w:val="414"/>
        </w:trPr>
        <w:tc>
          <w:tcPr>
            <w:tcW w:w="1951" w:type="dxa"/>
            <w:vMerge w:val="restart"/>
            <w:vAlign w:val="center"/>
          </w:tcPr>
          <w:p w:rsidR="002F3713" w:rsidRPr="002A7E9B" w:rsidRDefault="002F3713" w:rsidP="003F7A27">
            <w:pPr>
              <w:tabs>
                <w:tab w:val="left" w:pos="3675"/>
              </w:tabs>
              <w:spacing w:before="100" w:after="100"/>
              <w:ind w:left="0"/>
              <w:jc w:val="center"/>
              <w:rPr>
                <w:b/>
                <w:sz w:val="18"/>
                <w:szCs w:val="18"/>
              </w:rPr>
            </w:pPr>
            <w:r w:rsidRPr="002A7E9B">
              <w:rPr>
                <w:b/>
                <w:sz w:val="18"/>
                <w:szCs w:val="18"/>
              </w:rPr>
              <w:t>Envolvente opaca</w:t>
            </w: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contínuo em paredes (ETICS) com EPS 100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80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4</w:t>
            </w:r>
            <w:r w:rsidR="00DE01FB" w:rsidRPr="002A7E9B">
              <w:rPr>
                <w:sz w:val="18"/>
                <w:szCs w:val="18"/>
              </w:rPr>
              <w:t>2,2</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contínuo em paredes (ETICS)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80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4</w:t>
            </w:r>
            <w:r w:rsidR="00DE01FB" w:rsidRPr="002A7E9B">
              <w:rPr>
                <w:sz w:val="18"/>
                <w:szCs w:val="18"/>
              </w:rPr>
              <w:t>6</w:t>
            </w:r>
            <w:r w:rsidRPr="002A7E9B">
              <w:rPr>
                <w:sz w:val="18"/>
                <w:szCs w:val="18"/>
              </w:rPr>
              <w:t>,</w:t>
            </w:r>
            <w:r w:rsidR="00DE01FB" w:rsidRPr="002A7E9B">
              <w:rPr>
                <w:sz w:val="18"/>
                <w:szCs w:val="18"/>
              </w:rPr>
              <w:t>2</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no pavimento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13,</w:t>
            </w:r>
            <w:r w:rsidR="00DE01FB" w:rsidRPr="002A7E9B">
              <w:rPr>
                <w:sz w:val="18"/>
                <w:szCs w:val="18"/>
              </w:rPr>
              <w:t>9</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na cobertura com EPS 150</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DE01FB" w:rsidP="003F7A27">
            <w:pPr>
              <w:tabs>
                <w:tab w:val="left" w:pos="3675"/>
              </w:tabs>
              <w:spacing w:before="100" w:after="100"/>
              <w:ind w:left="0"/>
              <w:jc w:val="center"/>
              <w:rPr>
                <w:sz w:val="18"/>
                <w:szCs w:val="18"/>
              </w:rPr>
            </w:pPr>
            <w:r w:rsidRPr="002A7E9B">
              <w:rPr>
                <w:sz w:val="18"/>
                <w:szCs w:val="18"/>
              </w:rPr>
              <w:t>13,9</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b/>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Aplicação de isolamento térmico na cobertura com lajetas térmicas XPS</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Até 100 mm de isolamento</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25,</w:t>
            </w:r>
            <w:r w:rsidR="00E01D6D" w:rsidRPr="002A7E9B">
              <w:rPr>
                <w:sz w:val="18"/>
                <w:szCs w:val="18"/>
              </w:rPr>
              <w:t>8</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25</w:t>
            </w:r>
          </w:p>
        </w:tc>
      </w:tr>
      <w:tr w:rsidR="002A7E9B" w:rsidRPr="002A7E9B" w:rsidTr="00F65DE8">
        <w:trPr>
          <w:trHeight w:val="414"/>
        </w:trPr>
        <w:tc>
          <w:tcPr>
            <w:tcW w:w="1951" w:type="dxa"/>
            <w:vMerge w:val="restart"/>
            <w:vAlign w:val="center"/>
          </w:tcPr>
          <w:p w:rsidR="002F3713" w:rsidRPr="002A7E9B" w:rsidRDefault="002F3713" w:rsidP="003F7A27">
            <w:pPr>
              <w:tabs>
                <w:tab w:val="left" w:pos="3675"/>
              </w:tabs>
              <w:spacing w:before="100" w:after="100"/>
              <w:ind w:left="0"/>
              <w:jc w:val="center"/>
              <w:rPr>
                <w:b/>
                <w:sz w:val="18"/>
                <w:szCs w:val="18"/>
              </w:rPr>
            </w:pPr>
            <w:r w:rsidRPr="002A7E9B">
              <w:rPr>
                <w:b/>
                <w:sz w:val="18"/>
                <w:szCs w:val="18"/>
              </w:rPr>
              <w:t>Envolvente envidraçada</w:t>
            </w: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Substituição de vãos envidraçados por soluções mais eficientes com caixilharia de PVC</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Vidro duplo incolor</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26</w:t>
            </w:r>
            <w:r w:rsidR="00E01D6D" w:rsidRPr="002A7E9B">
              <w:rPr>
                <w:sz w:val="18"/>
                <w:szCs w:val="18"/>
              </w:rPr>
              <w:t>7</w:t>
            </w:r>
            <w:r w:rsidRPr="002A7E9B">
              <w:rPr>
                <w:sz w:val="18"/>
                <w:szCs w:val="18"/>
              </w:rPr>
              <w:t>,</w:t>
            </w:r>
            <w:r w:rsidR="00E01D6D" w:rsidRPr="002A7E9B">
              <w:rPr>
                <w:sz w:val="18"/>
                <w:szCs w:val="18"/>
              </w:rPr>
              <w:t>8</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35</w:t>
            </w:r>
          </w:p>
        </w:tc>
      </w:tr>
      <w:tr w:rsidR="002A7E9B" w:rsidRPr="002A7E9B" w:rsidTr="00F65DE8">
        <w:trPr>
          <w:trHeight w:val="499"/>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Substituição de vãos envidraçados por soluções mais eficientes com caixilharia de alumínio com corte térmico</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 xml:space="preserve">Vidro duplo </w:t>
            </w:r>
            <w:proofErr w:type="spellStart"/>
            <w:r w:rsidRPr="002A7E9B">
              <w:rPr>
                <w:sz w:val="18"/>
                <w:szCs w:val="18"/>
              </w:rPr>
              <w:t>low</w:t>
            </w:r>
            <w:proofErr w:type="spellEnd"/>
            <w:r w:rsidRPr="002A7E9B">
              <w:rPr>
                <w:sz w:val="18"/>
                <w:szCs w:val="18"/>
              </w:rPr>
              <w:t>-e</w:t>
            </w:r>
          </w:p>
        </w:tc>
        <w:tc>
          <w:tcPr>
            <w:tcW w:w="2268" w:type="dxa"/>
            <w:vAlign w:val="center"/>
          </w:tcPr>
          <w:p w:rsidR="002F3713" w:rsidRPr="002A7E9B" w:rsidRDefault="00E01D6D" w:rsidP="003F7A27">
            <w:pPr>
              <w:tabs>
                <w:tab w:val="left" w:pos="3675"/>
              </w:tabs>
              <w:spacing w:before="100" w:after="100"/>
              <w:ind w:left="0"/>
              <w:jc w:val="center"/>
              <w:rPr>
                <w:sz w:val="18"/>
                <w:szCs w:val="18"/>
              </w:rPr>
            </w:pPr>
            <w:r w:rsidRPr="002A7E9B">
              <w:rPr>
                <w:sz w:val="18"/>
                <w:szCs w:val="18"/>
              </w:rPr>
              <w:t>391</w:t>
            </w:r>
            <w:r w:rsidR="002F3713" w:rsidRPr="002A7E9B">
              <w:rPr>
                <w:sz w:val="18"/>
                <w:szCs w:val="18"/>
              </w:rPr>
              <w:t>,</w:t>
            </w:r>
            <w:r w:rsidRPr="002A7E9B">
              <w:rPr>
                <w:sz w:val="18"/>
                <w:szCs w:val="18"/>
              </w:rPr>
              <w:t>4</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35</w:t>
            </w:r>
          </w:p>
        </w:tc>
      </w:tr>
      <w:tr w:rsidR="002A7E9B"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Dispositivos de sombreamento (estore veneziano ou equivalente)</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10</w:t>
            </w:r>
            <w:r w:rsidR="00E01D6D" w:rsidRPr="002A7E9B">
              <w:rPr>
                <w:sz w:val="18"/>
                <w:szCs w:val="18"/>
              </w:rPr>
              <w:t>3</w:t>
            </w:r>
            <w:r w:rsidRPr="002A7E9B">
              <w:rPr>
                <w:sz w:val="18"/>
                <w:szCs w:val="18"/>
              </w:rPr>
              <w:t>,0</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10</w:t>
            </w:r>
          </w:p>
        </w:tc>
      </w:tr>
      <w:tr w:rsidR="002F3713" w:rsidRPr="002A7E9B" w:rsidTr="00F65DE8">
        <w:trPr>
          <w:trHeight w:val="414"/>
        </w:trPr>
        <w:tc>
          <w:tcPr>
            <w:tcW w:w="1951" w:type="dxa"/>
            <w:vMerge/>
            <w:vAlign w:val="center"/>
          </w:tcPr>
          <w:p w:rsidR="002F3713" w:rsidRPr="002A7E9B" w:rsidRDefault="002F3713" w:rsidP="003F7A27">
            <w:pPr>
              <w:tabs>
                <w:tab w:val="left" w:pos="3675"/>
              </w:tabs>
              <w:spacing w:before="100" w:after="100"/>
              <w:ind w:left="0"/>
              <w:jc w:val="center"/>
              <w:rPr>
                <w:sz w:val="18"/>
                <w:szCs w:val="18"/>
              </w:rPr>
            </w:pPr>
          </w:p>
        </w:tc>
        <w:tc>
          <w:tcPr>
            <w:tcW w:w="6946"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Dispositivos de sombreamento (estores de lâminas de cor média)</w:t>
            </w:r>
          </w:p>
        </w:tc>
        <w:tc>
          <w:tcPr>
            <w:tcW w:w="2693"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w:t>
            </w:r>
          </w:p>
        </w:tc>
        <w:tc>
          <w:tcPr>
            <w:tcW w:w="2268" w:type="dxa"/>
            <w:vAlign w:val="center"/>
          </w:tcPr>
          <w:p w:rsidR="002F3713" w:rsidRPr="002A7E9B" w:rsidRDefault="002F3713" w:rsidP="003F7A27">
            <w:pPr>
              <w:tabs>
                <w:tab w:val="left" w:pos="3675"/>
              </w:tabs>
              <w:spacing w:before="100" w:after="100"/>
              <w:ind w:left="0"/>
              <w:jc w:val="center"/>
              <w:rPr>
                <w:sz w:val="18"/>
                <w:szCs w:val="18"/>
              </w:rPr>
            </w:pPr>
            <w:r w:rsidRPr="002A7E9B">
              <w:rPr>
                <w:sz w:val="18"/>
                <w:szCs w:val="18"/>
              </w:rPr>
              <w:t>7</w:t>
            </w:r>
            <w:r w:rsidR="00E01D6D" w:rsidRPr="002A7E9B">
              <w:rPr>
                <w:sz w:val="18"/>
                <w:szCs w:val="18"/>
              </w:rPr>
              <w:t>2</w:t>
            </w:r>
            <w:r w:rsidRPr="002A7E9B">
              <w:rPr>
                <w:sz w:val="18"/>
                <w:szCs w:val="18"/>
              </w:rPr>
              <w:t>,</w:t>
            </w:r>
            <w:r w:rsidR="00E01D6D" w:rsidRPr="002A7E9B">
              <w:rPr>
                <w:sz w:val="18"/>
                <w:szCs w:val="18"/>
              </w:rPr>
              <w:t>1</w:t>
            </w:r>
          </w:p>
        </w:tc>
        <w:tc>
          <w:tcPr>
            <w:tcW w:w="1134" w:type="dxa"/>
            <w:vAlign w:val="center"/>
          </w:tcPr>
          <w:p w:rsidR="002F3713" w:rsidRPr="002A7E9B" w:rsidRDefault="006769E6" w:rsidP="003F7A27">
            <w:pPr>
              <w:tabs>
                <w:tab w:val="left" w:pos="3675"/>
              </w:tabs>
              <w:spacing w:before="100" w:after="100"/>
              <w:ind w:left="0"/>
              <w:jc w:val="center"/>
              <w:rPr>
                <w:sz w:val="18"/>
                <w:szCs w:val="18"/>
              </w:rPr>
            </w:pPr>
            <w:r w:rsidRPr="002A7E9B">
              <w:rPr>
                <w:sz w:val="18"/>
                <w:szCs w:val="18"/>
              </w:rPr>
              <w:t>10</w:t>
            </w:r>
          </w:p>
        </w:tc>
      </w:tr>
    </w:tbl>
    <w:p w:rsidR="00585829" w:rsidRPr="002A7E9B" w:rsidRDefault="00585829" w:rsidP="00944BFC">
      <w:pPr>
        <w:tabs>
          <w:tab w:val="left" w:pos="-2127"/>
        </w:tabs>
        <w:spacing w:before="100" w:after="100"/>
        <w:jc w:val="right"/>
        <w:rPr>
          <w:sz w:val="18"/>
          <w:szCs w:val="18"/>
        </w:rPr>
      </w:pPr>
    </w:p>
    <w:p w:rsidR="00447B21" w:rsidRPr="002A7E9B" w:rsidRDefault="00447B21" w:rsidP="003F7A27">
      <w:pPr>
        <w:pStyle w:val="PargrafodaLista"/>
        <w:numPr>
          <w:ilvl w:val="0"/>
          <w:numId w:val="8"/>
        </w:numPr>
        <w:tabs>
          <w:tab w:val="left" w:pos="3675"/>
        </w:tabs>
        <w:spacing w:before="100" w:after="100" w:line="240" w:lineRule="auto"/>
        <w:jc w:val="both"/>
        <w:rPr>
          <w:rFonts w:ascii="Arial" w:hAnsi="Arial" w:cs="Arial"/>
          <w:sz w:val="18"/>
          <w:szCs w:val="18"/>
        </w:rPr>
      </w:pPr>
      <w:r w:rsidRPr="002A7E9B">
        <w:rPr>
          <w:rFonts w:ascii="Arial" w:hAnsi="Arial" w:cs="Arial"/>
          <w:sz w:val="18"/>
          <w:szCs w:val="18"/>
        </w:rPr>
        <w:t xml:space="preserve">Os valores do custo unitário máximo aplicável podem ser acrescidos em 20% </w:t>
      </w:r>
      <w:r w:rsidR="00EA7E11" w:rsidRPr="002A7E9B">
        <w:rPr>
          <w:rFonts w:ascii="Arial" w:hAnsi="Arial" w:cs="Arial"/>
          <w:sz w:val="18"/>
          <w:szCs w:val="18"/>
        </w:rPr>
        <w:t>a</w:t>
      </w:r>
      <w:r w:rsidRPr="002A7E9B">
        <w:rPr>
          <w:rFonts w:ascii="Arial" w:hAnsi="Arial" w:cs="Arial"/>
          <w:sz w:val="18"/>
          <w:szCs w:val="18"/>
        </w:rPr>
        <w:t>os respetivos valores, caso se verifiquem a apresentação de despesas relacionadas com remoç</w:t>
      </w:r>
      <w:r w:rsidR="00AB05A4" w:rsidRPr="002A7E9B">
        <w:rPr>
          <w:rFonts w:ascii="Arial" w:hAnsi="Arial" w:cs="Arial"/>
          <w:sz w:val="18"/>
          <w:szCs w:val="18"/>
        </w:rPr>
        <w:t>ão,</w:t>
      </w:r>
      <w:r w:rsidRPr="002A7E9B">
        <w:rPr>
          <w:rFonts w:ascii="Arial" w:hAnsi="Arial" w:cs="Arial"/>
          <w:sz w:val="18"/>
          <w:szCs w:val="18"/>
        </w:rPr>
        <w:t xml:space="preserve"> transporte </w:t>
      </w:r>
      <w:r w:rsidR="00781674" w:rsidRPr="002A7E9B">
        <w:rPr>
          <w:rFonts w:ascii="Arial" w:hAnsi="Arial" w:cs="Arial"/>
          <w:sz w:val="18"/>
          <w:szCs w:val="18"/>
        </w:rPr>
        <w:t xml:space="preserve">e entrega para tratamento adequado </w:t>
      </w:r>
      <w:r w:rsidRPr="002A7E9B">
        <w:rPr>
          <w:rFonts w:ascii="Arial" w:hAnsi="Arial" w:cs="Arial"/>
          <w:sz w:val="18"/>
          <w:szCs w:val="18"/>
        </w:rPr>
        <w:t>d</w:t>
      </w:r>
      <w:r w:rsidR="00AB05A4" w:rsidRPr="002A7E9B">
        <w:rPr>
          <w:rFonts w:ascii="Arial" w:hAnsi="Arial" w:cs="Arial"/>
          <w:sz w:val="18"/>
          <w:szCs w:val="18"/>
        </w:rPr>
        <w:t>os</w:t>
      </w:r>
      <w:r w:rsidRPr="002A7E9B">
        <w:rPr>
          <w:rFonts w:ascii="Arial" w:hAnsi="Arial" w:cs="Arial"/>
          <w:sz w:val="18"/>
          <w:szCs w:val="18"/>
        </w:rPr>
        <w:t xml:space="preserve"> resíduos dos elementos existentes, andaimes ou outros meios de elevação, fiscalização e segurança, estaleiro de obras </w:t>
      </w:r>
      <w:r w:rsidR="00AB05A4" w:rsidRPr="002A7E9B">
        <w:rPr>
          <w:rFonts w:ascii="Arial" w:hAnsi="Arial" w:cs="Arial"/>
          <w:sz w:val="18"/>
          <w:szCs w:val="18"/>
        </w:rPr>
        <w:t>e</w:t>
      </w:r>
      <w:r w:rsidRPr="002A7E9B">
        <w:rPr>
          <w:rFonts w:ascii="Arial" w:hAnsi="Arial" w:cs="Arial"/>
          <w:sz w:val="18"/>
          <w:szCs w:val="18"/>
        </w:rPr>
        <w:t xml:space="preserve"> quaisquer outras taxas necessárias</w:t>
      </w:r>
      <w:r w:rsidR="003710EB" w:rsidRPr="002A7E9B">
        <w:rPr>
          <w:rFonts w:ascii="Arial" w:hAnsi="Arial" w:cs="Arial"/>
          <w:sz w:val="18"/>
          <w:szCs w:val="18"/>
        </w:rPr>
        <w:t xml:space="preserve"> à implementação da operação</w:t>
      </w:r>
      <w:r w:rsidR="00781674" w:rsidRPr="002A7E9B">
        <w:rPr>
          <w:rFonts w:ascii="Arial" w:hAnsi="Arial" w:cs="Arial"/>
          <w:sz w:val="18"/>
          <w:szCs w:val="18"/>
        </w:rPr>
        <w:t>.</w:t>
      </w:r>
    </w:p>
    <w:p w:rsidR="00447B21" w:rsidRPr="002A7E9B" w:rsidRDefault="003710EB" w:rsidP="003F7A27">
      <w:pPr>
        <w:pStyle w:val="PargrafodaLista"/>
        <w:numPr>
          <w:ilvl w:val="0"/>
          <w:numId w:val="8"/>
        </w:numPr>
        <w:tabs>
          <w:tab w:val="left" w:pos="3675"/>
        </w:tabs>
        <w:spacing w:before="100" w:after="100" w:line="240" w:lineRule="auto"/>
        <w:jc w:val="both"/>
        <w:rPr>
          <w:rFonts w:ascii="Arial" w:hAnsi="Arial" w:cs="Arial"/>
          <w:sz w:val="18"/>
          <w:szCs w:val="18"/>
        </w:rPr>
      </w:pPr>
      <w:r w:rsidRPr="002A7E9B">
        <w:rPr>
          <w:rFonts w:ascii="Arial" w:hAnsi="Arial" w:cs="Arial"/>
          <w:sz w:val="18"/>
          <w:szCs w:val="18"/>
        </w:rPr>
        <w:t>Os custos relacionados com a remoção do amianto não são contabilizados para efeito de custo padrão, sendo o valor considerado totalmente elegível.</w:t>
      </w:r>
    </w:p>
    <w:p w:rsidR="00AE4C74" w:rsidRDefault="00AE4C74">
      <w:pPr>
        <w:spacing w:after="160" w:line="259" w:lineRule="auto"/>
        <w:ind w:left="0"/>
        <w:rPr>
          <w:rFonts w:cs="Arial"/>
          <w:sz w:val="18"/>
          <w:szCs w:val="18"/>
        </w:rPr>
      </w:pPr>
      <w:r>
        <w:rPr>
          <w:rFonts w:cs="Arial"/>
          <w:sz w:val="18"/>
          <w:szCs w:val="18"/>
        </w:rPr>
        <w:br w:type="page"/>
      </w:r>
    </w:p>
    <w:p w:rsidR="00260115" w:rsidRPr="002A7E9B" w:rsidRDefault="00260115" w:rsidP="003F7A27">
      <w:pPr>
        <w:tabs>
          <w:tab w:val="left" w:pos="3675"/>
        </w:tabs>
        <w:spacing w:before="100" w:after="100"/>
        <w:ind w:left="0"/>
        <w:jc w:val="both"/>
        <w:rPr>
          <w:rFonts w:cs="Arial"/>
          <w:sz w:val="18"/>
          <w:szCs w:val="18"/>
        </w:rPr>
      </w:pPr>
    </w:p>
    <w:tbl>
      <w:tblPr>
        <w:tblStyle w:val="Tabelacomgrelha"/>
        <w:tblW w:w="14709" w:type="dxa"/>
        <w:tblLook w:val="04A0" w:firstRow="1" w:lastRow="0" w:firstColumn="1" w:lastColumn="0" w:noHBand="0" w:noVBand="1"/>
      </w:tblPr>
      <w:tblGrid>
        <w:gridCol w:w="1951"/>
        <w:gridCol w:w="8080"/>
        <w:gridCol w:w="2410"/>
        <w:gridCol w:w="2268"/>
      </w:tblGrid>
      <w:tr w:rsidR="002A7E9B" w:rsidRPr="002A7E9B" w:rsidTr="00944BFC">
        <w:tc>
          <w:tcPr>
            <w:tcW w:w="1951"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Tipo de intervenção</w:t>
            </w:r>
          </w:p>
        </w:tc>
        <w:tc>
          <w:tcPr>
            <w:tcW w:w="8080"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Descrição da solução técnica</w:t>
            </w:r>
          </w:p>
        </w:tc>
        <w:tc>
          <w:tcPr>
            <w:tcW w:w="2410"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Área Interior</w:t>
            </w:r>
          </w:p>
        </w:tc>
        <w:tc>
          <w:tcPr>
            <w:tcW w:w="2268" w:type="dxa"/>
            <w:shd w:val="clear" w:color="auto" w:fill="D9E2F3" w:themeFill="accent5" w:themeFillTint="33"/>
            <w:vAlign w:val="center"/>
          </w:tcPr>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Custo unitário máximo</w:t>
            </w:r>
          </w:p>
          <w:p w:rsidR="00447B21" w:rsidRPr="002A7E9B" w:rsidRDefault="00447B21" w:rsidP="003F7A27">
            <w:pPr>
              <w:spacing w:before="100" w:after="100"/>
              <w:ind w:left="0"/>
              <w:jc w:val="center"/>
              <w:rPr>
                <w:rFonts w:eastAsia="Calibri" w:cs="Arial"/>
                <w:b/>
                <w:spacing w:val="0"/>
                <w:sz w:val="18"/>
                <w:szCs w:val="18"/>
              </w:rPr>
            </w:pPr>
            <w:r w:rsidRPr="002A7E9B">
              <w:rPr>
                <w:rFonts w:eastAsia="Calibri" w:cs="Arial"/>
                <w:b/>
                <w:spacing w:val="0"/>
                <w:sz w:val="18"/>
                <w:szCs w:val="18"/>
              </w:rPr>
              <w:t>(€/m2)</w:t>
            </w:r>
          </w:p>
        </w:tc>
      </w:tr>
      <w:tr w:rsidR="002A7E9B" w:rsidRPr="002A7E9B" w:rsidTr="00944BFC">
        <w:trPr>
          <w:trHeight w:val="414"/>
        </w:trPr>
        <w:tc>
          <w:tcPr>
            <w:tcW w:w="1951" w:type="dxa"/>
            <w:vMerge w:val="restart"/>
            <w:vAlign w:val="center"/>
          </w:tcPr>
          <w:p w:rsidR="00447B21" w:rsidRPr="002A7E9B" w:rsidRDefault="00447B21" w:rsidP="003F7A27">
            <w:pPr>
              <w:spacing w:before="100" w:after="100"/>
              <w:ind w:left="0"/>
              <w:jc w:val="center"/>
              <w:rPr>
                <w:sz w:val="18"/>
                <w:szCs w:val="18"/>
              </w:rPr>
            </w:pPr>
            <w:r w:rsidRPr="002A7E9B">
              <w:rPr>
                <w:rFonts w:eastAsia="Calibri" w:cs="Arial"/>
                <w:b/>
                <w:spacing w:val="0"/>
                <w:sz w:val="18"/>
                <w:szCs w:val="18"/>
              </w:rPr>
              <w:t>Auditorias energéticas</w:t>
            </w:r>
          </w:p>
        </w:tc>
        <w:tc>
          <w:tcPr>
            <w:tcW w:w="8080" w:type="dxa"/>
            <w:vAlign w:val="center"/>
          </w:tcPr>
          <w:p w:rsidR="00447B21" w:rsidRPr="002A7E9B" w:rsidRDefault="00447B21" w:rsidP="00944BFC">
            <w:pPr>
              <w:tabs>
                <w:tab w:val="left" w:pos="3675"/>
              </w:tabs>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Inferior a 1000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2,6</w:t>
            </w:r>
          </w:p>
        </w:tc>
      </w:tr>
      <w:tr w:rsidR="002A7E9B" w:rsidRPr="002A7E9B" w:rsidTr="00944BFC">
        <w:trPr>
          <w:trHeight w:val="414"/>
        </w:trPr>
        <w:tc>
          <w:tcPr>
            <w:tcW w:w="1951" w:type="dxa"/>
            <w:vMerge/>
            <w:vAlign w:val="center"/>
          </w:tcPr>
          <w:p w:rsidR="00447B21" w:rsidRPr="002A7E9B" w:rsidRDefault="00447B21" w:rsidP="003F7A27">
            <w:pPr>
              <w:tabs>
                <w:tab w:val="left" w:pos="3675"/>
              </w:tabs>
              <w:spacing w:before="100" w:after="100"/>
              <w:jc w:val="center"/>
              <w:rPr>
                <w:sz w:val="18"/>
                <w:szCs w:val="18"/>
              </w:rPr>
            </w:pPr>
          </w:p>
        </w:tc>
        <w:tc>
          <w:tcPr>
            <w:tcW w:w="8080" w:type="dxa"/>
            <w:vAlign w:val="center"/>
          </w:tcPr>
          <w:p w:rsidR="00447B21" w:rsidRPr="002A7E9B" w:rsidRDefault="00447B21" w:rsidP="00944BFC">
            <w:pPr>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Entre 1000 e 2500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1,5</w:t>
            </w:r>
          </w:p>
        </w:tc>
      </w:tr>
      <w:tr w:rsidR="002A7E9B" w:rsidRPr="002A7E9B" w:rsidTr="00944BFC">
        <w:trPr>
          <w:trHeight w:val="414"/>
        </w:trPr>
        <w:tc>
          <w:tcPr>
            <w:tcW w:w="1951" w:type="dxa"/>
            <w:vMerge/>
            <w:vAlign w:val="center"/>
          </w:tcPr>
          <w:p w:rsidR="00447B21" w:rsidRPr="002A7E9B" w:rsidRDefault="00447B21" w:rsidP="003F7A27">
            <w:pPr>
              <w:tabs>
                <w:tab w:val="left" w:pos="3675"/>
              </w:tabs>
              <w:spacing w:before="100" w:after="100"/>
              <w:jc w:val="center"/>
              <w:rPr>
                <w:sz w:val="18"/>
                <w:szCs w:val="18"/>
              </w:rPr>
            </w:pPr>
          </w:p>
        </w:tc>
        <w:tc>
          <w:tcPr>
            <w:tcW w:w="8080" w:type="dxa"/>
            <w:vAlign w:val="center"/>
          </w:tcPr>
          <w:p w:rsidR="00447B21" w:rsidRPr="002A7E9B" w:rsidRDefault="00447B21" w:rsidP="00944BFC">
            <w:pPr>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Entre 2500 e 10000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1,0</w:t>
            </w:r>
          </w:p>
        </w:tc>
      </w:tr>
      <w:tr w:rsidR="00944BFC" w:rsidRPr="002A7E9B" w:rsidTr="00944BFC">
        <w:trPr>
          <w:trHeight w:val="414"/>
        </w:trPr>
        <w:tc>
          <w:tcPr>
            <w:tcW w:w="1951" w:type="dxa"/>
            <w:vMerge/>
            <w:vAlign w:val="center"/>
          </w:tcPr>
          <w:p w:rsidR="00447B21" w:rsidRPr="002A7E9B" w:rsidRDefault="00447B21" w:rsidP="003F7A27">
            <w:pPr>
              <w:tabs>
                <w:tab w:val="left" w:pos="3675"/>
              </w:tabs>
              <w:spacing w:before="100" w:after="100"/>
              <w:jc w:val="center"/>
              <w:rPr>
                <w:sz w:val="18"/>
                <w:szCs w:val="18"/>
              </w:rPr>
            </w:pPr>
          </w:p>
        </w:tc>
        <w:tc>
          <w:tcPr>
            <w:tcW w:w="8080" w:type="dxa"/>
            <w:vAlign w:val="center"/>
          </w:tcPr>
          <w:p w:rsidR="00447B21" w:rsidRPr="002A7E9B" w:rsidRDefault="00447B21" w:rsidP="00944BFC">
            <w:pPr>
              <w:spacing w:before="100" w:after="100"/>
              <w:ind w:left="0"/>
              <w:jc w:val="center"/>
              <w:rPr>
                <w:sz w:val="18"/>
                <w:szCs w:val="18"/>
              </w:rPr>
            </w:pPr>
            <w:r w:rsidRPr="002A7E9B">
              <w:rPr>
                <w:sz w:val="18"/>
                <w:szCs w:val="18"/>
              </w:rPr>
              <w:t>Edifícios de serviços (escritórios, escolas, instalações desportivas, hospitais e unidades de saúde)</w:t>
            </w:r>
          </w:p>
        </w:tc>
        <w:tc>
          <w:tcPr>
            <w:tcW w:w="2410"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Superior a 10000 m2</w:t>
            </w:r>
          </w:p>
        </w:tc>
        <w:tc>
          <w:tcPr>
            <w:tcW w:w="2268" w:type="dxa"/>
            <w:vAlign w:val="center"/>
          </w:tcPr>
          <w:p w:rsidR="00447B21" w:rsidRPr="002A7E9B" w:rsidRDefault="00447B21" w:rsidP="003F7A27">
            <w:pPr>
              <w:tabs>
                <w:tab w:val="left" w:pos="3675"/>
              </w:tabs>
              <w:spacing w:before="100" w:after="100"/>
              <w:ind w:left="0"/>
              <w:jc w:val="center"/>
              <w:rPr>
                <w:sz w:val="18"/>
                <w:szCs w:val="18"/>
              </w:rPr>
            </w:pPr>
            <w:r w:rsidRPr="002A7E9B">
              <w:rPr>
                <w:sz w:val="18"/>
                <w:szCs w:val="18"/>
              </w:rPr>
              <w:t>0,7</w:t>
            </w:r>
          </w:p>
        </w:tc>
      </w:tr>
    </w:tbl>
    <w:p w:rsidR="00585829" w:rsidRPr="002A7E9B" w:rsidRDefault="00585829" w:rsidP="00944BFC">
      <w:pPr>
        <w:tabs>
          <w:tab w:val="left" w:pos="3675"/>
        </w:tabs>
        <w:spacing w:before="100" w:after="100"/>
        <w:ind w:left="0"/>
        <w:jc w:val="both"/>
        <w:rPr>
          <w:sz w:val="18"/>
          <w:szCs w:val="18"/>
        </w:rPr>
      </w:pPr>
    </w:p>
    <w:p w:rsidR="00447B21" w:rsidRPr="002A7E9B" w:rsidRDefault="00447B21" w:rsidP="003F7A27">
      <w:pPr>
        <w:spacing w:before="100" w:after="100"/>
        <w:ind w:left="0"/>
        <w:jc w:val="both"/>
        <w:rPr>
          <w:rFonts w:cs="Arial"/>
          <w:i/>
          <w:spacing w:val="0"/>
          <w:sz w:val="18"/>
          <w:lang w:eastAsia="pt-PT"/>
        </w:rPr>
      </w:pPr>
    </w:p>
    <w:p w:rsidR="00505BC6" w:rsidRPr="002A7E9B" w:rsidRDefault="00505BC6" w:rsidP="003F7A27">
      <w:pPr>
        <w:spacing w:before="100" w:after="100"/>
        <w:ind w:left="0"/>
        <w:jc w:val="both"/>
        <w:rPr>
          <w:rFonts w:cs="Arial"/>
          <w:i/>
          <w:spacing w:val="0"/>
          <w:sz w:val="18"/>
          <w:lang w:eastAsia="pt-PT"/>
        </w:rPr>
      </w:pPr>
      <w:r w:rsidRPr="00546BFF">
        <w:rPr>
          <w:rFonts w:cs="Arial"/>
          <w:b/>
          <w:i/>
          <w:spacing w:val="0"/>
          <w:sz w:val="18"/>
          <w:lang w:eastAsia="pt-PT"/>
        </w:rPr>
        <w:t>Fonte:</w:t>
      </w:r>
      <w:r w:rsidRPr="002A7E9B">
        <w:rPr>
          <w:rFonts w:cs="Arial"/>
          <w:i/>
          <w:spacing w:val="0"/>
          <w:sz w:val="18"/>
          <w:lang w:eastAsia="pt-PT"/>
        </w:rPr>
        <w:t xml:space="preserve"> Direção</w:t>
      </w:r>
      <w:r w:rsidR="00A0085B" w:rsidRPr="002A7E9B">
        <w:rPr>
          <w:rFonts w:cs="Arial"/>
          <w:i/>
          <w:spacing w:val="0"/>
          <w:sz w:val="18"/>
          <w:lang w:eastAsia="pt-PT"/>
        </w:rPr>
        <w:t>-</w:t>
      </w:r>
      <w:r w:rsidRPr="002A7E9B">
        <w:rPr>
          <w:rFonts w:cs="Arial"/>
          <w:i/>
          <w:spacing w:val="0"/>
          <w:sz w:val="18"/>
          <w:lang w:eastAsia="pt-PT"/>
        </w:rPr>
        <w:t>Geral de Energia e Geologia</w:t>
      </w:r>
      <w:r w:rsidR="00F65DE8" w:rsidRPr="002A7E9B">
        <w:rPr>
          <w:rFonts w:cs="Arial"/>
          <w:i/>
          <w:spacing w:val="0"/>
          <w:sz w:val="18"/>
          <w:lang w:eastAsia="pt-PT"/>
        </w:rPr>
        <w:t xml:space="preserve"> (</w:t>
      </w:r>
      <w:r w:rsidR="00E01D6D" w:rsidRPr="002A7E9B">
        <w:rPr>
          <w:rFonts w:cs="Arial"/>
          <w:i/>
          <w:spacing w:val="0"/>
          <w:sz w:val="18"/>
          <w:lang w:eastAsia="pt-PT"/>
        </w:rPr>
        <w:t xml:space="preserve">valores atualizados com base no Índice de Preços no Consumidor a maio de 2019 face aos valores de </w:t>
      </w:r>
      <w:r w:rsidR="00F65DE8" w:rsidRPr="002A7E9B">
        <w:rPr>
          <w:rFonts w:cs="Arial"/>
          <w:i/>
          <w:spacing w:val="0"/>
          <w:sz w:val="18"/>
          <w:lang w:eastAsia="pt-PT"/>
        </w:rPr>
        <w:t>setembro de 2016)</w:t>
      </w:r>
    </w:p>
    <w:p w:rsidR="00A84193" w:rsidRPr="00747C2B" w:rsidRDefault="00A84193" w:rsidP="00606785">
      <w:pPr>
        <w:tabs>
          <w:tab w:val="left" w:pos="-2268"/>
        </w:tabs>
        <w:spacing w:before="100" w:after="100" w:line="360" w:lineRule="auto"/>
        <w:ind w:left="0"/>
        <w:outlineLvl w:val="0"/>
        <w:rPr>
          <w:rFonts w:eastAsia="Calibri" w:cs="Arial"/>
          <w:bCs/>
          <w:spacing w:val="0"/>
          <w:szCs w:val="22"/>
        </w:rPr>
      </w:pPr>
      <w:bookmarkStart w:id="0" w:name="_GoBack"/>
      <w:bookmarkEnd w:id="0"/>
    </w:p>
    <w:sectPr w:rsidR="00A84193" w:rsidRPr="00747C2B" w:rsidSect="00747C2B">
      <w:headerReference w:type="default" r:id="rId9"/>
      <w:footerReference w:type="default" r:id="rId10"/>
      <w:headerReference w:type="first" r:id="rId11"/>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D1" w:rsidRDefault="005349D1">
      <w:r>
        <w:separator/>
      </w:r>
    </w:p>
  </w:endnote>
  <w:endnote w:type="continuationSeparator" w:id="0">
    <w:p w:rsidR="005349D1" w:rsidRDefault="0053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82835"/>
      <w:docPartObj>
        <w:docPartGallery w:val="Page Numbers (Bottom of Page)"/>
        <w:docPartUnique/>
      </w:docPartObj>
    </w:sdtPr>
    <w:sdtEndPr/>
    <w:sdtContent>
      <w:p w:rsidR="005349D1" w:rsidRDefault="005349D1" w:rsidP="00AE4C74">
        <w:pPr>
          <w:pStyle w:val="Rodap"/>
          <w:jc w:val="right"/>
        </w:pPr>
        <w:r>
          <w:t xml:space="preserve">Página | </w:t>
        </w:r>
        <w:r>
          <w:fldChar w:fldCharType="begin"/>
        </w:r>
        <w:r>
          <w:instrText>PAGE   \* MERGEFORMAT</w:instrText>
        </w:r>
        <w:r>
          <w:fldChar w:fldCharType="separate"/>
        </w:r>
        <w:r w:rsidR="00606785">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D1" w:rsidRDefault="005349D1">
      <w:r>
        <w:separator/>
      </w:r>
    </w:p>
  </w:footnote>
  <w:footnote w:type="continuationSeparator" w:id="0">
    <w:p w:rsidR="005349D1" w:rsidRDefault="0053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D1" w:rsidRDefault="005349D1" w:rsidP="00E772FE">
    <w:pPr>
      <w:pStyle w:val="Cabealho"/>
      <w:tabs>
        <w:tab w:val="clear" w:pos="4320"/>
      </w:tabs>
      <w:spacing w:before="20" w:after="20"/>
      <w:ind w:left="-142" w:firstLine="14"/>
      <w:jc w:val="left"/>
      <w:rPr>
        <w:rStyle w:val="MessageHeaderLabel"/>
        <w:b w:val="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D1" w:rsidRDefault="005349D1" w:rsidP="00E772FE">
    <w:pPr>
      <w:pStyle w:val="Cabealho"/>
      <w:tabs>
        <w:tab w:val="clear" w:pos="4320"/>
        <w:tab w:val="clear" w:pos="8640"/>
      </w:tabs>
      <w:ind w:left="-142"/>
    </w:pPr>
    <w:r>
      <w:rPr>
        <w:noProof/>
        <w:lang w:eastAsia="pt-PT"/>
      </w:rPr>
      <w:drawing>
        <wp:anchor distT="0" distB="0" distL="114300" distR="114300" simplePos="0" relativeHeight="251661312" behindDoc="1" locked="0" layoutInCell="1" allowOverlap="1" wp14:anchorId="125CA88E" wp14:editId="07BB1679">
          <wp:simplePos x="0" y="0"/>
          <wp:positionH relativeFrom="column">
            <wp:posOffset>-970232</wp:posOffset>
          </wp:positionH>
          <wp:positionV relativeFrom="paragraph">
            <wp:posOffset>-193675</wp:posOffset>
          </wp:positionV>
          <wp:extent cx="7601803" cy="10752223"/>
          <wp:effectExtent l="0" t="0" r="0"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ta6-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1803" cy="1075222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79B"/>
    <w:multiLevelType w:val="multilevel"/>
    <w:tmpl w:val="8D0A62F8"/>
    <w:lvl w:ilvl="0">
      <w:start w:val="1"/>
      <w:numFmt w:val="decimal"/>
      <w:pStyle w:val="Cabealho1"/>
      <w:lvlText w:val="%1."/>
      <w:lvlJc w:val="left"/>
      <w:pPr>
        <w:ind w:left="1555" w:hanging="360"/>
      </w:pPr>
      <w:rPr>
        <w:b/>
        <w:i w:val="0"/>
      </w:rPr>
    </w:lvl>
    <w:lvl w:ilvl="1">
      <w:start w:val="1"/>
      <w:numFmt w:val="decimal"/>
      <w:isLgl/>
      <w:lvlText w:val="%1.%2."/>
      <w:lvlJc w:val="left"/>
      <w:pPr>
        <w:ind w:left="1630" w:hanging="435"/>
      </w:pPr>
      <w:rPr>
        <w:rFonts w:ascii="Arial" w:hAnsi="Arial" w:cs="Arial" w:hint="default"/>
        <w:b w:val="0"/>
        <w:i w:val="0"/>
        <w:sz w:val="20"/>
      </w:rPr>
    </w:lvl>
    <w:lvl w:ilvl="2">
      <w:start w:val="1"/>
      <w:numFmt w:val="decimal"/>
      <w:isLgl/>
      <w:lvlText w:val="%1.%2.%3."/>
      <w:lvlJc w:val="left"/>
      <w:pPr>
        <w:ind w:left="1915" w:hanging="720"/>
      </w:pPr>
      <w:rPr>
        <w:rFonts w:hint="default"/>
      </w:rPr>
    </w:lvl>
    <w:lvl w:ilvl="3">
      <w:start w:val="1"/>
      <w:numFmt w:val="decimal"/>
      <w:isLgl/>
      <w:lvlText w:val="%1.%2.%3.%4."/>
      <w:lvlJc w:val="left"/>
      <w:pPr>
        <w:ind w:left="1915" w:hanging="720"/>
      </w:pPr>
      <w:rPr>
        <w:rFonts w:hint="default"/>
      </w:rPr>
    </w:lvl>
    <w:lvl w:ilvl="4">
      <w:start w:val="1"/>
      <w:numFmt w:val="decimal"/>
      <w:isLgl/>
      <w:lvlText w:val="%1.%2.%3.%4.%5."/>
      <w:lvlJc w:val="left"/>
      <w:pPr>
        <w:ind w:left="2275" w:hanging="1080"/>
      </w:pPr>
      <w:rPr>
        <w:rFonts w:hint="default"/>
      </w:rPr>
    </w:lvl>
    <w:lvl w:ilvl="5">
      <w:start w:val="1"/>
      <w:numFmt w:val="decimal"/>
      <w:isLgl/>
      <w:lvlText w:val="%1.%2.%3.%4.%5.%6."/>
      <w:lvlJc w:val="left"/>
      <w:pPr>
        <w:ind w:left="2275" w:hanging="108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2635" w:hanging="1440"/>
      </w:pPr>
      <w:rPr>
        <w:rFonts w:hint="default"/>
      </w:rPr>
    </w:lvl>
    <w:lvl w:ilvl="8">
      <w:start w:val="1"/>
      <w:numFmt w:val="decimal"/>
      <w:isLgl/>
      <w:lvlText w:val="%1.%2.%3.%4.%5.%6.%7.%8.%9."/>
      <w:lvlJc w:val="left"/>
      <w:pPr>
        <w:ind w:left="2635" w:hanging="1440"/>
      </w:pPr>
      <w:rPr>
        <w:rFonts w:hint="default"/>
      </w:rPr>
    </w:lvl>
  </w:abstractNum>
  <w:abstractNum w:abstractNumId="1">
    <w:nsid w:val="213B1B64"/>
    <w:multiLevelType w:val="multilevel"/>
    <w:tmpl w:val="081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7B3E13"/>
    <w:multiLevelType w:val="hybridMultilevel"/>
    <w:tmpl w:val="2F66C2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3AD358A"/>
    <w:multiLevelType w:val="hybridMultilevel"/>
    <w:tmpl w:val="6F9417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A7023DC"/>
    <w:multiLevelType w:val="hybridMultilevel"/>
    <w:tmpl w:val="B89255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CB77247"/>
    <w:multiLevelType w:val="hybridMultilevel"/>
    <w:tmpl w:val="D92ADD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D7913D2"/>
    <w:multiLevelType w:val="hybridMultilevel"/>
    <w:tmpl w:val="0FC453BC"/>
    <w:lvl w:ilvl="0" w:tplc="2F2AE3DC">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nsid w:val="654F4CCE"/>
    <w:multiLevelType w:val="hybridMultilevel"/>
    <w:tmpl w:val="E6144448"/>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AAD38DC"/>
    <w:multiLevelType w:val="hybridMultilevel"/>
    <w:tmpl w:val="BA167F64"/>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A1D0A7D"/>
    <w:multiLevelType w:val="hybridMultilevel"/>
    <w:tmpl w:val="E9CA9C04"/>
    <w:lvl w:ilvl="0" w:tplc="D46E1D9A">
      <w:start w:val="1"/>
      <w:numFmt w:val="decimal"/>
      <w:pStyle w:val="Cabealho2"/>
      <w:lvlText w:val="1.%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nsid w:val="7A740483"/>
    <w:multiLevelType w:val="hybridMultilevel"/>
    <w:tmpl w:val="A94A14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4"/>
  </w:num>
  <w:num w:numId="6">
    <w:abstractNumId w:val="2"/>
  </w:num>
  <w:num w:numId="7">
    <w:abstractNumId w:val="5"/>
  </w:num>
  <w:num w:numId="8">
    <w:abstractNumId w:val="6"/>
  </w:num>
  <w:num w:numId="9">
    <w:abstractNumId w:val="10"/>
  </w:num>
  <w:num w:numId="10">
    <w:abstractNumId w:val="8"/>
  </w:num>
  <w:num w:numId="11">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C 1">
    <w15:presenceInfo w15:providerId="None" w15:userId="ADC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F7"/>
    <w:rsid w:val="000103A3"/>
    <w:rsid w:val="000212A3"/>
    <w:rsid w:val="00031708"/>
    <w:rsid w:val="0003415A"/>
    <w:rsid w:val="0003574B"/>
    <w:rsid w:val="000379E7"/>
    <w:rsid w:val="000477EF"/>
    <w:rsid w:val="00052C74"/>
    <w:rsid w:val="00077F29"/>
    <w:rsid w:val="00083B9A"/>
    <w:rsid w:val="00084B99"/>
    <w:rsid w:val="00090273"/>
    <w:rsid w:val="000A2B5D"/>
    <w:rsid w:val="000C1320"/>
    <w:rsid w:val="000C34BE"/>
    <w:rsid w:val="000C5DF0"/>
    <w:rsid w:val="000D3306"/>
    <w:rsid w:val="000D7808"/>
    <w:rsid w:val="000E2564"/>
    <w:rsid w:val="00100E31"/>
    <w:rsid w:val="00101510"/>
    <w:rsid w:val="00104956"/>
    <w:rsid w:val="00105269"/>
    <w:rsid w:val="00106B36"/>
    <w:rsid w:val="00114C63"/>
    <w:rsid w:val="00121801"/>
    <w:rsid w:val="0012671A"/>
    <w:rsid w:val="00131125"/>
    <w:rsid w:val="001407FE"/>
    <w:rsid w:val="00141125"/>
    <w:rsid w:val="001554FF"/>
    <w:rsid w:val="00155536"/>
    <w:rsid w:val="00156787"/>
    <w:rsid w:val="00157402"/>
    <w:rsid w:val="0017145C"/>
    <w:rsid w:val="0017202C"/>
    <w:rsid w:val="001731E6"/>
    <w:rsid w:val="0017766C"/>
    <w:rsid w:val="00184016"/>
    <w:rsid w:val="001969D8"/>
    <w:rsid w:val="001A033F"/>
    <w:rsid w:val="001A1E75"/>
    <w:rsid w:val="001A6082"/>
    <w:rsid w:val="001B1666"/>
    <w:rsid w:val="001B60E9"/>
    <w:rsid w:val="001C1B40"/>
    <w:rsid w:val="001D1D46"/>
    <w:rsid w:val="001D71ED"/>
    <w:rsid w:val="001E6777"/>
    <w:rsid w:val="001F3561"/>
    <w:rsid w:val="001F4C9F"/>
    <w:rsid w:val="00200180"/>
    <w:rsid w:val="00210603"/>
    <w:rsid w:val="00216E0F"/>
    <w:rsid w:val="00231E37"/>
    <w:rsid w:val="0023373D"/>
    <w:rsid w:val="0024566A"/>
    <w:rsid w:val="00247C4E"/>
    <w:rsid w:val="002550BE"/>
    <w:rsid w:val="00257D67"/>
    <w:rsid w:val="00260115"/>
    <w:rsid w:val="0026201E"/>
    <w:rsid w:val="0027322A"/>
    <w:rsid w:val="00276C2A"/>
    <w:rsid w:val="00282382"/>
    <w:rsid w:val="00282C41"/>
    <w:rsid w:val="00284D18"/>
    <w:rsid w:val="00287E4C"/>
    <w:rsid w:val="00290815"/>
    <w:rsid w:val="00291324"/>
    <w:rsid w:val="002973A4"/>
    <w:rsid w:val="002A0BAE"/>
    <w:rsid w:val="002A2275"/>
    <w:rsid w:val="002A24B6"/>
    <w:rsid w:val="002A7E9B"/>
    <w:rsid w:val="002C4B46"/>
    <w:rsid w:val="002C6B86"/>
    <w:rsid w:val="002D0DB8"/>
    <w:rsid w:val="002D2E1E"/>
    <w:rsid w:val="002D5841"/>
    <w:rsid w:val="002D66DD"/>
    <w:rsid w:val="002D75C0"/>
    <w:rsid w:val="002D76D0"/>
    <w:rsid w:val="002F3713"/>
    <w:rsid w:val="002F45C2"/>
    <w:rsid w:val="002F4740"/>
    <w:rsid w:val="00305113"/>
    <w:rsid w:val="0031388F"/>
    <w:rsid w:val="003138DA"/>
    <w:rsid w:val="00323A05"/>
    <w:rsid w:val="00330093"/>
    <w:rsid w:val="00331307"/>
    <w:rsid w:val="0035517E"/>
    <w:rsid w:val="00355309"/>
    <w:rsid w:val="0036193E"/>
    <w:rsid w:val="00365138"/>
    <w:rsid w:val="003710EB"/>
    <w:rsid w:val="00387F0C"/>
    <w:rsid w:val="003A3A9F"/>
    <w:rsid w:val="003A45DB"/>
    <w:rsid w:val="003A77A8"/>
    <w:rsid w:val="003B65E5"/>
    <w:rsid w:val="003B7CEC"/>
    <w:rsid w:val="003C1D81"/>
    <w:rsid w:val="003C7C04"/>
    <w:rsid w:val="003E165C"/>
    <w:rsid w:val="003E2CD2"/>
    <w:rsid w:val="003E7932"/>
    <w:rsid w:val="003F08B2"/>
    <w:rsid w:val="003F1B13"/>
    <w:rsid w:val="003F33C8"/>
    <w:rsid w:val="003F7A27"/>
    <w:rsid w:val="00403C55"/>
    <w:rsid w:val="00403CF9"/>
    <w:rsid w:val="00410B34"/>
    <w:rsid w:val="004158E6"/>
    <w:rsid w:val="00425E81"/>
    <w:rsid w:val="00426024"/>
    <w:rsid w:val="00431BB5"/>
    <w:rsid w:val="00435433"/>
    <w:rsid w:val="00444067"/>
    <w:rsid w:val="004443A8"/>
    <w:rsid w:val="00446EA8"/>
    <w:rsid w:val="00447B21"/>
    <w:rsid w:val="00453652"/>
    <w:rsid w:val="0046467C"/>
    <w:rsid w:val="00474AF3"/>
    <w:rsid w:val="0048203D"/>
    <w:rsid w:val="00486645"/>
    <w:rsid w:val="0049174B"/>
    <w:rsid w:val="004A7C9D"/>
    <w:rsid w:val="004B67D7"/>
    <w:rsid w:val="004C6C1E"/>
    <w:rsid w:val="004D206F"/>
    <w:rsid w:val="004D50CF"/>
    <w:rsid w:val="004D7E9B"/>
    <w:rsid w:val="004E072F"/>
    <w:rsid w:val="004E18E4"/>
    <w:rsid w:val="004F14FB"/>
    <w:rsid w:val="004F3CB5"/>
    <w:rsid w:val="0050142D"/>
    <w:rsid w:val="005026CA"/>
    <w:rsid w:val="00505BC6"/>
    <w:rsid w:val="005152B8"/>
    <w:rsid w:val="005221E3"/>
    <w:rsid w:val="00526ADB"/>
    <w:rsid w:val="00532145"/>
    <w:rsid w:val="005349D1"/>
    <w:rsid w:val="00537997"/>
    <w:rsid w:val="005463DE"/>
    <w:rsid w:val="00546BFF"/>
    <w:rsid w:val="00547B7A"/>
    <w:rsid w:val="00551F85"/>
    <w:rsid w:val="00555DFC"/>
    <w:rsid w:val="00557A88"/>
    <w:rsid w:val="00560AA1"/>
    <w:rsid w:val="005623DB"/>
    <w:rsid w:val="005722E2"/>
    <w:rsid w:val="00573843"/>
    <w:rsid w:val="00580B78"/>
    <w:rsid w:val="005813E1"/>
    <w:rsid w:val="00583C04"/>
    <w:rsid w:val="00584BEE"/>
    <w:rsid w:val="00585829"/>
    <w:rsid w:val="005A4896"/>
    <w:rsid w:val="005A7912"/>
    <w:rsid w:val="005B0105"/>
    <w:rsid w:val="005B3172"/>
    <w:rsid w:val="005C4686"/>
    <w:rsid w:val="005C515F"/>
    <w:rsid w:val="005D266B"/>
    <w:rsid w:val="005D4EA0"/>
    <w:rsid w:val="005E20A7"/>
    <w:rsid w:val="005F6824"/>
    <w:rsid w:val="00601A01"/>
    <w:rsid w:val="00606785"/>
    <w:rsid w:val="00616C7B"/>
    <w:rsid w:val="00616F27"/>
    <w:rsid w:val="006235D6"/>
    <w:rsid w:val="00624F49"/>
    <w:rsid w:val="00625C82"/>
    <w:rsid w:val="00632E6F"/>
    <w:rsid w:val="006378A6"/>
    <w:rsid w:val="00643CF1"/>
    <w:rsid w:val="00645D0D"/>
    <w:rsid w:val="00647A2F"/>
    <w:rsid w:val="006560F9"/>
    <w:rsid w:val="0066377E"/>
    <w:rsid w:val="0066593B"/>
    <w:rsid w:val="00673C19"/>
    <w:rsid w:val="006748B6"/>
    <w:rsid w:val="006769E6"/>
    <w:rsid w:val="006818D3"/>
    <w:rsid w:val="00682A5D"/>
    <w:rsid w:val="006838A2"/>
    <w:rsid w:val="00683EFA"/>
    <w:rsid w:val="006863C6"/>
    <w:rsid w:val="00690FB6"/>
    <w:rsid w:val="0069683E"/>
    <w:rsid w:val="006A20D0"/>
    <w:rsid w:val="006A38C0"/>
    <w:rsid w:val="006A66B6"/>
    <w:rsid w:val="006B77B7"/>
    <w:rsid w:val="006C1622"/>
    <w:rsid w:val="006C60DA"/>
    <w:rsid w:val="006C7B8E"/>
    <w:rsid w:val="006D6168"/>
    <w:rsid w:val="006E428E"/>
    <w:rsid w:val="006F0905"/>
    <w:rsid w:val="006F2768"/>
    <w:rsid w:val="006F59CD"/>
    <w:rsid w:val="006F785B"/>
    <w:rsid w:val="00702D92"/>
    <w:rsid w:val="00703EF6"/>
    <w:rsid w:val="007104FC"/>
    <w:rsid w:val="00710DDD"/>
    <w:rsid w:val="007218AD"/>
    <w:rsid w:val="00723212"/>
    <w:rsid w:val="007256F7"/>
    <w:rsid w:val="00727AF7"/>
    <w:rsid w:val="0073440E"/>
    <w:rsid w:val="0073480F"/>
    <w:rsid w:val="00737491"/>
    <w:rsid w:val="00747C2B"/>
    <w:rsid w:val="00775AFC"/>
    <w:rsid w:val="00776988"/>
    <w:rsid w:val="00776C48"/>
    <w:rsid w:val="00781674"/>
    <w:rsid w:val="0078180D"/>
    <w:rsid w:val="007822EA"/>
    <w:rsid w:val="00792198"/>
    <w:rsid w:val="007A06E6"/>
    <w:rsid w:val="007A591F"/>
    <w:rsid w:val="007B07E0"/>
    <w:rsid w:val="007C4B8B"/>
    <w:rsid w:val="007C73AE"/>
    <w:rsid w:val="007D40C9"/>
    <w:rsid w:val="007D4DA1"/>
    <w:rsid w:val="007D6C18"/>
    <w:rsid w:val="007E3B6F"/>
    <w:rsid w:val="007E4F16"/>
    <w:rsid w:val="007E598C"/>
    <w:rsid w:val="007E7DF7"/>
    <w:rsid w:val="007F296E"/>
    <w:rsid w:val="008012F7"/>
    <w:rsid w:val="0080250B"/>
    <w:rsid w:val="00807A6F"/>
    <w:rsid w:val="00807D28"/>
    <w:rsid w:val="00813543"/>
    <w:rsid w:val="008167E1"/>
    <w:rsid w:val="00820CF2"/>
    <w:rsid w:val="00827F51"/>
    <w:rsid w:val="00836123"/>
    <w:rsid w:val="00842DC0"/>
    <w:rsid w:val="00844665"/>
    <w:rsid w:val="008518C3"/>
    <w:rsid w:val="00855D07"/>
    <w:rsid w:val="00856A7D"/>
    <w:rsid w:val="00863563"/>
    <w:rsid w:val="008678F6"/>
    <w:rsid w:val="00873E92"/>
    <w:rsid w:val="00875439"/>
    <w:rsid w:val="00876461"/>
    <w:rsid w:val="008814B1"/>
    <w:rsid w:val="00891641"/>
    <w:rsid w:val="008B2E67"/>
    <w:rsid w:val="008C0159"/>
    <w:rsid w:val="008C2C84"/>
    <w:rsid w:val="008C5EDB"/>
    <w:rsid w:val="008D493F"/>
    <w:rsid w:val="008D4D7B"/>
    <w:rsid w:val="008D54B7"/>
    <w:rsid w:val="008E2FC5"/>
    <w:rsid w:val="008E7D51"/>
    <w:rsid w:val="008F4106"/>
    <w:rsid w:val="009021E1"/>
    <w:rsid w:val="00920C6F"/>
    <w:rsid w:val="00924EE9"/>
    <w:rsid w:val="009255E1"/>
    <w:rsid w:val="00930001"/>
    <w:rsid w:val="0093103D"/>
    <w:rsid w:val="00934A9D"/>
    <w:rsid w:val="00944BFC"/>
    <w:rsid w:val="00953659"/>
    <w:rsid w:val="00963E5C"/>
    <w:rsid w:val="00970536"/>
    <w:rsid w:val="00973BD3"/>
    <w:rsid w:val="009923F2"/>
    <w:rsid w:val="00992B51"/>
    <w:rsid w:val="00995F0F"/>
    <w:rsid w:val="00997FD6"/>
    <w:rsid w:val="009A27CC"/>
    <w:rsid w:val="009A63DE"/>
    <w:rsid w:val="009B6954"/>
    <w:rsid w:val="009D33DA"/>
    <w:rsid w:val="009D3550"/>
    <w:rsid w:val="009D3DFA"/>
    <w:rsid w:val="009F1C21"/>
    <w:rsid w:val="009F2BCD"/>
    <w:rsid w:val="009F2F22"/>
    <w:rsid w:val="00A0085B"/>
    <w:rsid w:val="00A05769"/>
    <w:rsid w:val="00A15E3C"/>
    <w:rsid w:val="00A22AC0"/>
    <w:rsid w:val="00A337BD"/>
    <w:rsid w:val="00A342B8"/>
    <w:rsid w:val="00A354B4"/>
    <w:rsid w:val="00A363FC"/>
    <w:rsid w:val="00A45F88"/>
    <w:rsid w:val="00A527C4"/>
    <w:rsid w:val="00A544A0"/>
    <w:rsid w:val="00A564FE"/>
    <w:rsid w:val="00A66F90"/>
    <w:rsid w:val="00A71BD3"/>
    <w:rsid w:val="00A8261E"/>
    <w:rsid w:val="00A84193"/>
    <w:rsid w:val="00A905C4"/>
    <w:rsid w:val="00A921C1"/>
    <w:rsid w:val="00A95820"/>
    <w:rsid w:val="00A972F9"/>
    <w:rsid w:val="00AB05A4"/>
    <w:rsid w:val="00AC00CA"/>
    <w:rsid w:val="00AC4497"/>
    <w:rsid w:val="00AC48DA"/>
    <w:rsid w:val="00AC6141"/>
    <w:rsid w:val="00AD2D32"/>
    <w:rsid w:val="00AD5506"/>
    <w:rsid w:val="00AE1E4C"/>
    <w:rsid w:val="00AE3CF4"/>
    <w:rsid w:val="00AE4C74"/>
    <w:rsid w:val="00AF374C"/>
    <w:rsid w:val="00AF44DC"/>
    <w:rsid w:val="00AF4F13"/>
    <w:rsid w:val="00AF620B"/>
    <w:rsid w:val="00AF7520"/>
    <w:rsid w:val="00B117F7"/>
    <w:rsid w:val="00B14684"/>
    <w:rsid w:val="00B174D6"/>
    <w:rsid w:val="00B35B93"/>
    <w:rsid w:val="00B61887"/>
    <w:rsid w:val="00B62165"/>
    <w:rsid w:val="00B630F5"/>
    <w:rsid w:val="00B63B2D"/>
    <w:rsid w:val="00B73D7B"/>
    <w:rsid w:val="00B7400D"/>
    <w:rsid w:val="00B93286"/>
    <w:rsid w:val="00BA2CE4"/>
    <w:rsid w:val="00BA2DEA"/>
    <w:rsid w:val="00BA5DF9"/>
    <w:rsid w:val="00BB331F"/>
    <w:rsid w:val="00BB3E47"/>
    <w:rsid w:val="00BB65BC"/>
    <w:rsid w:val="00BC26F9"/>
    <w:rsid w:val="00BD680D"/>
    <w:rsid w:val="00BE602B"/>
    <w:rsid w:val="00BF0876"/>
    <w:rsid w:val="00BF34AD"/>
    <w:rsid w:val="00C02877"/>
    <w:rsid w:val="00C169F4"/>
    <w:rsid w:val="00C27EA3"/>
    <w:rsid w:val="00C4040B"/>
    <w:rsid w:val="00C411D7"/>
    <w:rsid w:val="00C416B6"/>
    <w:rsid w:val="00C41FBF"/>
    <w:rsid w:val="00C46AF5"/>
    <w:rsid w:val="00C536FF"/>
    <w:rsid w:val="00C53C03"/>
    <w:rsid w:val="00C575D7"/>
    <w:rsid w:val="00C57ADB"/>
    <w:rsid w:val="00C630AF"/>
    <w:rsid w:val="00C7325A"/>
    <w:rsid w:val="00C80C5B"/>
    <w:rsid w:val="00C819BC"/>
    <w:rsid w:val="00C97957"/>
    <w:rsid w:val="00CA0429"/>
    <w:rsid w:val="00CA13D8"/>
    <w:rsid w:val="00CA4B28"/>
    <w:rsid w:val="00CB0F5C"/>
    <w:rsid w:val="00CB2565"/>
    <w:rsid w:val="00CB69BB"/>
    <w:rsid w:val="00CB70CF"/>
    <w:rsid w:val="00CB7504"/>
    <w:rsid w:val="00CC264C"/>
    <w:rsid w:val="00CC3100"/>
    <w:rsid w:val="00CC7236"/>
    <w:rsid w:val="00CD29D1"/>
    <w:rsid w:val="00CD4B63"/>
    <w:rsid w:val="00CD5AE1"/>
    <w:rsid w:val="00CE481C"/>
    <w:rsid w:val="00CE4CA5"/>
    <w:rsid w:val="00CE720D"/>
    <w:rsid w:val="00CF04A0"/>
    <w:rsid w:val="00CF0CAB"/>
    <w:rsid w:val="00CF29C4"/>
    <w:rsid w:val="00CF4B59"/>
    <w:rsid w:val="00CF6429"/>
    <w:rsid w:val="00D02DE0"/>
    <w:rsid w:val="00D04B8C"/>
    <w:rsid w:val="00D07E1C"/>
    <w:rsid w:val="00D107E9"/>
    <w:rsid w:val="00D13168"/>
    <w:rsid w:val="00D16E5B"/>
    <w:rsid w:val="00D2332F"/>
    <w:rsid w:val="00D35833"/>
    <w:rsid w:val="00D5401D"/>
    <w:rsid w:val="00D650F5"/>
    <w:rsid w:val="00D662D5"/>
    <w:rsid w:val="00D727F9"/>
    <w:rsid w:val="00D800B0"/>
    <w:rsid w:val="00D8587B"/>
    <w:rsid w:val="00DA4FF3"/>
    <w:rsid w:val="00DB61EB"/>
    <w:rsid w:val="00DB74A4"/>
    <w:rsid w:val="00DC5B3F"/>
    <w:rsid w:val="00DC693B"/>
    <w:rsid w:val="00DE01FB"/>
    <w:rsid w:val="00DE31C9"/>
    <w:rsid w:val="00DE3DC8"/>
    <w:rsid w:val="00DE442E"/>
    <w:rsid w:val="00DF196C"/>
    <w:rsid w:val="00DF2A9D"/>
    <w:rsid w:val="00DF7C35"/>
    <w:rsid w:val="00E01B49"/>
    <w:rsid w:val="00E01D6D"/>
    <w:rsid w:val="00E050B5"/>
    <w:rsid w:val="00E07A61"/>
    <w:rsid w:val="00E135B9"/>
    <w:rsid w:val="00E14ED2"/>
    <w:rsid w:val="00E200E5"/>
    <w:rsid w:val="00E20A71"/>
    <w:rsid w:val="00E249F9"/>
    <w:rsid w:val="00E35282"/>
    <w:rsid w:val="00E37705"/>
    <w:rsid w:val="00E46F06"/>
    <w:rsid w:val="00E603B6"/>
    <w:rsid w:val="00E63876"/>
    <w:rsid w:val="00E65AC8"/>
    <w:rsid w:val="00E67650"/>
    <w:rsid w:val="00E772FE"/>
    <w:rsid w:val="00E8737F"/>
    <w:rsid w:val="00E902E2"/>
    <w:rsid w:val="00EA4A5B"/>
    <w:rsid w:val="00EA5321"/>
    <w:rsid w:val="00EA7E11"/>
    <w:rsid w:val="00EB674E"/>
    <w:rsid w:val="00EC732D"/>
    <w:rsid w:val="00ED14A8"/>
    <w:rsid w:val="00ED58C0"/>
    <w:rsid w:val="00ED6D52"/>
    <w:rsid w:val="00EE286B"/>
    <w:rsid w:val="00EE5C6A"/>
    <w:rsid w:val="00F0347C"/>
    <w:rsid w:val="00F03D99"/>
    <w:rsid w:val="00F05119"/>
    <w:rsid w:val="00F1062F"/>
    <w:rsid w:val="00F12FCE"/>
    <w:rsid w:val="00F308A8"/>
    <w:rsid w:val="00F37EEB"/>
    <w:rsid w:val="00F46EF8"/>
    <w:rsid w:val="00F50D98"/>
    <w:rsid w:val="00F64DC3"/>
    <w:rsid w:val="00F65740"/>
    <w:rsid w:val="00F65DE8"/>
    <w:rsid w:val="00F73852"/>
    <w:rsid w:val="00F749B0"/>
    <w:rsid w:val="00F8264A"/>
    <w:rsid w:val="00F93BAD"/>
    <w:rsid w:val="00F94ED1"/>
    <w:rsid w:val="00F95BEF"/>
    <w:rsid w:val="00FA0802"/>
    <w:rsid w:val="00FA3F9B"/>
    <w:rsid w:val="00FA77BB"/>
    <w:rsid w:val="00FC020E"/>
    <w:rsid w:val="00FE285B"/>
    <w:rsid w:val="00FF28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2825">
      <w:bodyDiv w:val="1"/>
      <w:marLeft w:val="0"/>
      <w:marRight w:val="0"/>
      <w:marTop w:val="0"/>
      <w:marBottom w:val="0"/>
      <w:divBdr>
        <w:top w:val="none" w:sz="0" w:space="0" w:color="auto"/>
        <w:left w:val="none" w:sz="0" w:space="0" w:color="auto"/>
        <w:bottom w:val="none" w:sz="0" w:space="0" w:color="auto"/>
        <w:right w:val="none" w:sz="0" w:space="0" w:color="auto"/>
      </w:divBdr>
    </w:div>
    <w:div w:id="778337148">
      <w:bodyDiv w:val="1"/>
      <w:marLeft w:val="0"/>
      <w:marRight w:val="0"/>
      <w:marTop w:val="0"/>
      <w:marBottom w:val="0"/>
      <w:divBdr>
        <w:top w:val="none" w:sz="0" w:space="0" w:color="auto"/>
        <w:left w:val="none" w:sz="0" w:space="0" w:color="auto"/>
        <w:bottom w:val="none" w:sz="0" w:space="0" w:color="auto"/>
        <w:right w:val="none" w:sz="0" w:space="0" w:color="auto"/>
      </w:divBdr>
    </w:div>
    <w:div w:id="847910608">
      <w:bodyDiv w:val="1"/>
      <w:marLeft w:val="0"/>
      <w:marRight w:val="0"/>
      <w:marTop w:val="0"/>
      <w:marBottom w:val="0"/>
      <w:divBdr>
        <w:top w:val="none" w:sz="0" w:space="0" w:color="auto"/>
        <w:left w:val="none" w:sz="0" w:space="0" w:color="auto"/>
        <w:bottom w:val="none" w:sz="0" w:space="0" w:color="auto"/>
        <w:right w:val="none" w:sz="0" w:space="0" w:color="auto"/>
      </w:divBdr>
    </w:div>
    <w:div w:id="910582439">
      <w:bodyDiv w:val="1"/>
      <w:marLeft w:val="0"/>
      <w:marRight w:val="0"/>
      <w:marTop w:val="0"/>
      <w:marBottom w:val="0"/>
      <w:divBdr>
        <w:top w:val="none" w:sz="0" w:space="0" w:color="auto"/>
        <w:left w:val="none" w:sz="0" w:space="0" w:color="auto"/>
        <w:bottom w:val="none" w:sz="0" w:space="0" w:color="auto"/>
        <w:right w:val="none" w:sz="0" w:space="0" w:color="auto"/>
      </w:divBdr>
    </w:div>
    <w:div w:id="1074546985">
      <w:bodyDiv w:val="1"/>
      <w:marLeft w:val="0"/>
      <w:marRight w:val="0"/>
      <w:marTop w:val="0"/>
      <w:marBottom w:val="0"/>
      <w:divBdr>
        <w:top w:val="none" w:sz="0" w:space="0" w:color="auto"/>
        <w:left w:val="none" w:sz="0" w:space="0" w:color="auto"/>
        <w:bottom w:val="none" w:sz="0" w:space="0" w:color="auto"/>
        <w:right w:val="none" w:sz="0" w:space="0" w:color="auto"/>
      </w:divBdr>
    </w:div>
    <w:div w:id="1122457619">
      <w:bodyDiv w:val="1"/>
      <w:marLeft w:val="0"/>
      <w:marRight w:val="0"/>
      <w:marTop w:val="0"/>
      <w:marBottom w:val="0"/>
      <w:divBdr>
        <w:top w:val="none" w:sz="0" w:space="0" w:color="auto"/>
        <w:left w:val="none" w:sz="0" w:space="0" w:color="auto"/>
        <w:bottom w:val="none" w:sz="0" w:space="0" w:color="auto"/>
        <w:right w:val="none" w:sz="0" w:space="0" w:color="auto"/>
      </w:divBdr>
    </w:div>
    <w:div w:id="11837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F718-918D-411A-8F9F-FAD4A969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2192</Words>
  <Characters>11841</Characters>
  <Application>Microsoft Office Word</Application>
  <DocSecurity>0</DocSecurity>
  <Lines>98</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Direção Geral de Energia e Geologia</Company>
  <LinksUpToDate>false</LinksUpToDate>
  <CharactersWithSpaces>14005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Pimenta</dc:creator>
  <cp:lastModifiedBy>PORL</cp:lastModifiedBy>
  <cp:revision>22</cp:revision>
  <cp:lastPrinted>2019-06-19T15:18:00Z</cp:lastPrinted>
  <dcterms:created xsi:type="dcterms:W3CDTF">2019-07-09T09:13:00Z</dcterms:created>
  <dcterms:modified xsi:type="dcterms:W3CDTF">2019-08-02T15:30:00Z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UFAAhWon0ndq8EwBfVEOpeh2Gjxrj+cLd6h4T6ZcbsWv57UhATKgp1nz31SmwqA/4u0nf7rH0xfZVEs4
yAzcR5opafn5ZkP56Wx1BgNSmx8N8M+NDQ4lYrRNmv0rLfhDGfCmHBxOeN2hDOkDrGuM6ca5yPvv
IAWABUoI1IuJpUcVNGn+UEEbXk7977WwKVas60XBvOHoW3rxKoiqgoUXShvqwjcKukOj1Y8+6H6n
bSWQdQtmPQmGV2T99</vt:lpwstr>
  </property>
  <property fmtid="{D5CDD505-2E9C-101B-9397-08002B2CF9AE}" pid="3" name="MAIL_MSG_ID2">
    <vt:lpwstr>gPk9nl+ttT0pODna0KETZ218tKg4tS9bM05rW73+aHPe9gRv2r6qxZLHEIz
KPeb1IjFJywLqOCQPiGUilK2Qcw=</vt:lpwstr>
  </property>
  <property fmtid="{D5CDD505-2E9C-101B-9397-08002B2CF9AE}" pid="4" name="RESPONSE_SENDER_NAME">
    <vt:lpwstr>4AAA9DNYQidmug7JnOsqQSz/HZwoURJGQDU8ucS7tYmtqvltGW4jhpkUBA==</vt:lpwstr>
  </property>
  <property fmtid="{D5CDD505-2E9C-101B-9397-08002B2CF9AE}" pid="5" name="EMAIL_OWNER_ADDRESS">
    <vt:lpwstr>4AAA4Lxe55UJ0C9ezzRa+BBmMzJCj5Q5VZb5JYBnSdKq4IwOlEIxnc/f1Q==</vt:lpwstr>
  </property>
</Properties>
</file>